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2"/>
        <w:tblpPr w:leftFromText="180" w:rightFromText="180" w:vertAnchor="page" w:horzAnchor="margin" w:tblpY="1955"/>
        <w:tblW w:w="10205" w:type="dxa"/>
        <w:tblLook w:val="04A0" w:firstRow="1" w:lastRow="0" w:firstColumn="1" w:lastColumn="0" w:noHBand="0" w:noVBand="1"/>
      </w:tblPr>
      <w:tblGrid>
        <w:gridCol w:w="10205"/>
      </w:tblGrid>
      <w:tr w:rsidR="00E51DFD" w:rsidRPr="00E51DFD" w:rsidTr="00E51DFD">
        <w:tc>
          <w:tcPr>
            <w:tcW w:w="10205" w:type="dxa"/>
            <w:tcBorders>
              <w:top w:val="single" w:sz="12" w:space="0" w:color="auto"/>
              <w:left w:val="single" w:sz="12" w:space="0" w:color="auto"/>
              <w:bottom w:val="single" w:sz="12" w:space="0" w:color="auto"/>
              <w:right w:val="single" w:sz="12" w:space="0" w:color="auto"/>
            </w:tcBorders>
          </w:tcPr>
          <w:p w:rsidR="00E51DFD" w:rsidRPr="00E51DFD" w:rsidRDefault="00E51DFD" w:rsidP="00E51DFD">
            <w:pPr>
              <w:rPr>
                <w:rFonts w:ascii="Calibri" w:hAnsi="Calibri" w:cs="Times New Roman"/>
                <w:b/>
                <w:sz w:val="32"/>
              </w:rPr>
            </w:pPr>
            <w:r w:rsidRPr="00E850E0">
              <w:rPr>
                <w:rFonts w:ascii="Calibri" w:hAnsi="Calibri" w:cs="Times New Roman"/>
                <w:noProof/>
                <w:szCs w:val="20"/>
                <w:lang w:eastAsia="en-GB"/>
              </w:rPr>
              <mc:AlternateContent>
                <mc:Choice Requires="wps">
                  <w:drawing>
                    <wp:anchor distT="0" distB="0" distL="114300" distR="114300" simplePos="0" relativeHeight="251659264" behindDoc="0" locked="0" layoutInCell="1" allowOverlap="1" wp14:anchorId="09A5061E" wp14:editId="1AE85D61">
                      <wp:simplePos x="0" y="0"/>
                      <wp:positionH relativeFrom="column">
                        <wp:posOffset>-33020</wp:posOffset>
                      </wp:positionH>
                      <wp:positionV relativeFrom="paragraph">
                        <wp:posOffset>-960574</wp:posOffset>
                      </wp:positionV>
                      <wp:extent cx="5553075" cy="604157"/>
                      <wp:effectExtent l="0" t="0" r="9525"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604157"/>
                              </a:xfrm>
                              <a:prstGeom prst="rect">
                                <a:avLst/>
                              </a:prstGeom>
                              <a:solidFill>
                                <a:srgbClr val="FFFFFF"/>
                              </a:solidFill>
                              <a:ln w="9525">
                                <a:noFill/>
                                <a:miter lim="800000"/>
                                <a:headEnd/>
                                <a:tailEnd/>
                              </a:ln>
                            </wps:spPr>
                            <wps:txbx>
                              <w:txbxContent>
                                <w:p w:rsidR="00E51DFD" w:rsidRDefault="00E51DFD" w:rsidP="00E51DFD">
                                  <w:pPr>
                                    <w:rPr>
                                      <w:rFonts w:asciiTheme="minorHAnsi" w:hAnsiTheme="minorHAnsi"/>
                                      <w:i/>
                                    </w:rPr>
                                  </w:pPr>
                                  <w:r>
                                    <w:rPr>
                                      <w:rFonts w:asciiTheme="minorHAnsi" w:hAnsiTheme="minorHAnsi"/>
                                      <w:b/>
                                      <w:sz w:val="36"/>
                                    </w:rPr>
                                    <w:t>Overview of Unit 2</w:t>
                                  </w:r>
                                  <w:r w:rsidRPr="00E850E0">
                                    <w:rPr>
                                      <w:rFonts w:asciiTheme="minorHAnsi" w:hAnsiTheme="minorHAnsi"/>
                                      <w:b/>
                                      <w:sz w:val="36"/>
                                    </w:rPr>
                                    <w:t xml:space="preserve"> lessons    </w:t>
                                  </w:r>
                                  <w:r w:rsidRPr="00E850E0">
                                    <w:rPr>
                                      <w:rFonts w:asciiTheme="minorHAnsi" w:hAnsiTheme="minorHAnsi"/>
                                      <w:i/>
                                    </w:rPr>
                                    <w:t>(taken from the lesson documents)</w:t>
                                  </w:r>
                                </w:p>
                                <w:p w:rsidR="00E51DFD" w:rsidRPr="003C5277" w:rsidRDefault="00E51DFD" w:rsidP="00E51DFD">
                                  <w:pPr>
                                    <w:rPr>
                                      <w:rFonts w:asciiTheme="minorHAnsi" w:hAnsiTheme="minorHAnsi"/>
                                      <w:b/>
                                      <w:sz w:val="36"/>
                                    </w:rPr>
                                  </w:pPr>
                                  <w:proofErr w:type="spellStart"/>
                                  <w:r>
                                    <w:rPr>
                                      <w:rFonts w:asciiTheme="minorHAnsi" w:hAnsiTheme="minorHAnsi"/>
                                      <w:b/>
                                      <w:sz w:val="32"/>
                                    </w:rPr>
                                    <w:t>Recognising</w:t>
                                  </w:r>
                                  <w:proofErr w:type="spellEnd"/>
                                  <w:r>
                                    <w:rPr>
                                      <w:rFonts w:asciiTheme="minorHAnsi" w:hAnsiTheme="minorHAnsi"/>
                                      <w:b/>
                                      <w:sz w:val="32"/>
                                    </w:rPr>
                                    <w:t xml:space="preserve"> proportional contexts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pt;margin-top:-75.65pt;width:437.25pt;height:4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" stroked="f">
                      <v:textbox>
                        <w:txbxContent>
                          <w:p w:rsidR="00E51DFD" w:rsidRDefault="00E51DFD" w:rsidP="00E51DFD">
                            <w:pPr>
                              <w:rPr>
                                <w:rFonts w:asciiTheme="minorHAnsi" w:hAnsiTheme="minorHAnsi"/>
                                <w:i/>
                              </w:rPr>
                            </w:pPr>
                            <w:r>
                              <w:rPr>
                                <w:rFonts w:asciiTheme="minorHAnsi" w:hAnsiTheme="minorHAnsi"/>
                                <w:b/>
                                <w:sz w:val="36"/>
                              </w:rPr>
                              <w:t>Overview of Unit 2</w:t>
                            </w:r>
                            <w:r w:rsidRPr="00E850E0">
                              <w:rPr>
                                <w:rFonts w:asciiTheme="minorHAnsi" w:hAnsiTheme="minorHAnsi"/>
                                <w:b/>
                                <w:sz w:val="36"/>
                              </w:rPr>
                              <w:t xml:space="preserve"> lessons    </w:t>
                            </w:r>
                            <w:r w:rsidRPr="00E850E0">
                              <w:rPr>
                                <w:rFonts w:asciiTheme="minorHAnsi" w:hAnsiTheme="minorHAnsi"/>
                                <w:i/>
                              </w:rPr>
                              <w:t>(taken from the lesson documents)</w:t>
                            </w:r>
                          </w:p>
                          <w:p w:rsidR="00E51DFD" w:rsidRPr="003C5277" w:rsidRDefault="00E51DFD" w:rsidP="00E51DFD">
                            <w:pPr>
                              <w:rPr>
                                <w:rFonts w:asciiTheme="minorHAnsi" w:hAnsiTheme="minorHAnsi"/>
                                <w:b/>
                                <w:sz w:val="36"/>
                              </w:rPr>
                            </w:pPr>
                            <w:proofErr w:type="spellStart"/>
                            <w:r>
                              <w:rPr>
                                <w:rFonts w:asciiTheme="minorHAnsi" w:hAnsiTheme="minorHAnsi"/>
                                <w:b/>
                                <w:sz w:val="32"/>
                              </w:rPr>
                              <w:t>Recognising</w:t>
                            </w:r>
                            <w:proofErr w:type="spellEnd"/>
                            <w:r>
                              <w:rPr>
                                <w:rFonts w:asciiTheme="minorHAnsi" w:hAnsiTheme="minorHAnsi"/>
                                <w:b/>
                                <w:sz w:val="32"/>
                              </w:rPr>
                              <w:t xml:space="preserve"> proportional contexts</w:t>
                            </w:r>
                          </w:p>
                        </w:txbxContent>
                      </v:textbox>
                    </v:shape>
                  </w:pict>
                </mc:Fallback>
              </mc:AlternateContent>
            </w:r>
            <w:r w:rsidRPr="00E51DFD">
              <w:rPr>
                <w:rFonts w:ascii="Calibri" w:hAnsi="Calibri" w:cs="Times New Roman"/>
                <w:b/>
                <w:sz w:val="32"/>
              </w:rPr>
              <w:t xml:space="preserve">Unit 2A Lessons        </w:t>
            </w:r>
            <w:r w:rsidRPr="00E51DFD">
              <w:rPr>
                <w:rFonts w:ascii="Calibri" w:hAnsi="Calibri" w:cs="Times New Roman"/>
                <w:b/>
                <w:sz w:val="36"/>
                <w:szCs w:val="36"/>
              </w:rPr>
              <w:t xml:space="preserve"> </w:t>
            </w:r>
            <w:r w:rsidRPr="00E51DFD">
              <w:rPr>
                <w:rFonts w:ascii="Calibri" w:hAnsi="Calibri" w:cs="Times New Roman"/>
                <w:b/>
                <w:sz w:val="32"/>
              </w:rPr>
              <w:t xml:space="preserve">Understanding and identifying proportional contexts  </w:t>
            </w:r>
          </w:p>
        </w:tc>
      </w:tr>
      <w:tr w:rsidR="00E51DFD" w:rsidRPr="00E51DFD" w:rsidTr="00E51DFD">
        <w:tc>
          <w:tcPr>
            <w:tcW w:w="10205" w:type="dxa"/>
            <w:tcBorders>
              <w:top w:val="single" w:sz="12" w:space="0" w:color="auto"/>
              <w:left w:val="single" w:sz="12" w:space="0" w:color="auto"/>
              <w:bottom w:val="nil"/>
              <w:right w:val="single" w:sz="12" w:space="0" w:color="auto"/>
            </w:tcBorders>
            <w:shd w:val="clear" w:color="auto" w:fill="EEECE1" w:themeFill="background2"/>
          </w:tcPr>
          <w:p w:rsidR="00E51DFD" w:rsidRPr="00E51DFD" w:rsidRDefault="00E51DFD" w:rsidP="00E51DFD">
            <w:pPr>
              <w:rPr>
                <w:rFonts w:ascii="Calibri" w:hAnsi="Calibri" w:cs="Times New Roman"/>
                <w:b/>
                <w:sz w:val="28"/>
              </w:rPr>
            </w:pPr>
            <w:r w:rsidRPr="00E51DFD">
              <w:rPr>
                <w:rFonts w:ascii="Calibri" w:hAnsi="Calibri" w:cs="Times New Roman"/>
                <w:b/>
                <w:sz w:val="28"/>
              </w:rPr>
              <w:t>2A(</w:t>
            </w:r>
            <w:proofErr w:type="spellStart"/>
            <w:r w:rsidRPr="00E51DFD">
              <w:rPr>
                <w:rFonts w:ascii="Calibri" w:hAnsi="Calibri" w:cs="Times New Roman"/>
                <w:b/>
                <w:sz w:val="28"/>
              </w:rPr>
              <w:t>i</w:t>
            </w:r>
            <w:proofErr w:type="spellEnd"/>
            <w:r w:rsidRPr="00E51DFD">
              <w:rPr>
                <w:rFonts w:ascii="Calibri" w:hAnsi="Calibri" w:cs="Times New Roman"/>
                <w:b/>
                <w:sz w:val="28"/>
              </w:rPr>
              <w:t>)    Working with contexts which lead to the bar</w:t>
            </w:r>
          </w:p>
        </w:tc>
      </w:tr>
      <w:tr w:rsidR="00E51DFD" w:rsidRPr="00E51DFD" w:rsidTr="00E51DFD">
        <w:tc>
          <w:tcPr>
            <w:tcW w:w="10205" w:type="dxa"/>
            <w:tcBorders>
              <w:top w:val="nil"/>
              <w:left w:val="single" w:sz="12" w:space="0" w:color="auto"/>
              <w:bottom w:val="nil"/>
              <w:right w:val="single" w:sz="12" w:space="0" w:color="auto"/>
            </w:tcBorders>
          </w:tcPr>
          <w:p w:rsidR="00E51DFD" w:rsidRPr="00E51DFD" w:rsidRDefault="00E51DFD" w:rsidP="00E51DFD">
            <w:pPr>
              <w:spacing w:before="60"/>
              <w:rPr>
                <w:rFonts w:ascii="Calibri" w:hAnsi="Calibri" w:cs="Times New Roman"/>
              </w:rPr>
            </w:pPr>
            <w:r w:rsidRPr="00E51DFD">
              <w:rPr>
                <w:rFonts w:ascii="Calibri" w:hAnsi="Calibri" w:cs="Times New Roman"/>
                <w:b/>
              </w:rPr>
              <w:t>Lesson summary</w:t>
            </w:r>
          </w:p>
          <w:p w:rsidR="00E51DFD" w:rsidRPr="00E51DFD" w:rsidRDefault="00E51DFD" w:rsidP="00E51DFD">
            <w:pPr>
              <w:numPr>
                <w:ilvl w:val="0"/>
                <w:numId w:val="6"/>
              </w:numPr>
              <w:ind w:left="318" w:hanging="284"/>
              <w:rPr>
                <w:rFonts w:ascii="Calibri" w:hAnsi="Calibri" w:cs="Times New Roman"/>
                <w:szCs w:val="20"/>
              </w:rPr>
            </w:pPr>
            <w:r w:rsidRPr="00E51DFD">
              <w:rPr>
                <w:rFonts w:ascii="Calibri" w:hAnsi="Calibri" w:cs="Times New Roman"/>
                <w:szCs w:val="20"/>
              </w:rPr>
              <w:t>In this lesson students work with a variety of contexts where the bar model emerges as an appropriate representation of the context</w:t>
            </w:r>
          </w:p>
          <w:p w:rsidR="00E51DFD" w:rsidRPr="00E51DFD" w:rsidRDefault="00E51DFD" w:rsidP="00E51DFD">
            <w:pPr>
              <w:numPr>
                <w:ilvl w:val="0"/>
                <w:numId w:val="6"/>
              </w:numPr>
              <w:ind w:left="318" w:hanging="284"/>
              <w:rPr>
                <w:rFonts w:ascii="Calibri" w:hAnsi="Calibri" w:cs="Times New Roman"/>
                <w:szCs w:val="20"/>
              </w:rPr>
            </w:pPr>
            <w:r w:rsidRPr="00E51DFD">
              <w:rPr>
                <w:rFonts w:ascii="Calibri" w:hAnsi="Calibri" w:cs="Times New Roman"/>
                <w:szCs w:val="20"/>
              </w:rPr>
              <w:t>The contexts used include blocks of cheese, butter, a hot water urn, ribbon and pizza. Most of which can be modelled as a rectangular bar.</w:t>
            </w:r>
          </w:p>
          <w:p w:rsidR="00E51DFD" w:rsidRPr="00E51DFD" w:rsidRDefault="00E51DFD" w:rsidP="00E51DFD">
            <w:pPr>
              <w:autoSpaceDE w:val="0"/>
              <w:autoSpaceDN w:val="0"/>
              <w:adjustRightInd w:val="0"/>
              <w:rPr>
                <w:rFonts w:ascii="Calibri" w:hAnsi="Calibri" w:cs="Calibri"/>
              </w:rPr>
            </w:pPr>
            <w:r w:rsidRPr="00E51DFD">
              <w:rPr>
                <w:rFonts w:ascii="Calibri" w:hAnsi="Calibri" w:cs="Times New Roman"/>
                <w:szCs w:val="20"/>
              </w:rPr>
              <w:t>Students develop ways of working with the bar to help them solve a variety of problems where the quantities are directly proportional</w:t>
            </w:r>
          </w:p>
        </w:tc>
      </w:tr>
      <w:tr w:rsidR="00E51DFD" w:rsidRPr="00E51DFD" w:rsidTr="00E51DFD">
        <w:tc>
          <w:tcPr>
            <w:tcW w:w="10205" w:type="dxa"/>
            <w:tcBorders>
              <w:top w:val="nil"/>
              <w:left w:val="single" w:sz="12" w:space="0" w:color="auto"/>
              <w:bottom w:val="nil"/>
              <w:right w:val="single" w:sz="12" w:space="0" w:color="auto"/>
            </w:tcBorders>
          </w:tcPr>
          <w:p w:rsidR="00E51DFD" w:rsidRPr="00E51DFD" w:rsidRDefault="00E51DFD" w:rsidP="00E51DFD">
            <w:pPr>
              <w:spacing w:before="60"/>
              <w:rPr>
                <w:rFonts w:ascii="Calibri" w:hAnsi="Calibri" w:cs="Times New Roman"/>
              </w:rPr>
            </w:pPr>
            <w:r w:rsidRPr="00E51DFD">
              <w:rPr>
                <w:rFonts w:ascii="Calibri" w:hAnsi="Calibri" w:cs="Times New Roman"/>
                <w:b/>
              </w:rPr>
              <w:t>Focus of students’ learning</w:t>
            </w:r>
            <w:r w:rsidRPr="00E51DFD">
              <w:rPr>
                <w:rFonts w:ascii="Calibri" w:hAnsi="Calibri" w:cs="Times New Roman"/>
              </w:rPr>
              <w:t xml:space="preserve"> </w:t>
            </w:r>
          </w:p>
          <w:p w:rsidR="00E51DFD" w:rsidRPr="00E51DFD" w:rsidRDefault="00E51DFD" w:rsidP="00E51DFD">
            <w:pPr>
              <w:numPr>
                <w:ilvl w:val="0"/>
                <w:numId w:val="8"/>
              </w:numPr>
              <w:rPr>
                <w:rFonts w:ascii="Calibri" w:hAnsi="Calibri" w:cs="Times New Roman"/>
                <w:szCs w:val="20"/>
              </w:rPr>
            </w:pPr>
            <w:r w:rsidRPr="00E51DFD">
              <w:rPr>
                <w:rFonts w:ascii="Calibri" w:hAnsi="Calibri" w:cs="Times New Roman"/>
                <w:szCs w:val="20"/>
              </w:rPr>
              <w:t>To develop strategies for accurately portioning up a bar</w:t>
            </w:r>
          </w:p>
          <w:p w:rsidR="00E51DFD" w:rsidRPr="00E51DFD" w:rsidRDefault="00E51DFD" w:rsidP="00E51DFD">
            <w:pPr>
              <w:numPr>
                <w:ilvl w:val="0"/>
                <w:numId w:val="8"/>
              </w:numPr>
              <w:rPr>
                <w:rFonts w:ascii="Calibri" w:hAnsi="Calibri" w:cs="Times New Roman"/>
                <w:szCs w:val="20"/>
              </w:rPr>
            </w:pPr>
            <w:r w:rsidRPr="00E51DFD">
              <w:rPr>
                <w:rFonts w:ascii="Calibri" w:hAnsi="Calibri" w:cs="Times New Roman"/>
                <w:szCs w:val="20"/>
              </w:rPr>
              <w:t>To be able to draw a bar to represent a particular context where quantities are proportional</w:t>
            </w:r>
          </w:p>
          <w:p w:rsidR="00E51DFD" w:rsidRPr="00E51DFD" w:rsidRDefault="00E51DFD" w:rsidP="00E51DFD">
            <w:pPr>
              <w:numPr>
                <w:ilvl w:val="0"/>
                <w:numId w:val="8"/>
              </w:numPr>
              <w:rPr>
                <w:rFonts w:ascii="Calibri" w:hAnsi="Calibri" w:cs="Times New Roman"/>
                <w:szCs w:val="20"/>
              </w:rPr>
            </w:pPr>
            <w:r w:rsidRPr="00E51DFD">
              <w:rPr>
                <w:rFonts w:ascii="Calibri" w:hAnsi="Calibri" w:cs="Times New Roman"/>
                <w:szCs w:val="20"/>
              </w:rPr>
              <w:t>To be able to accurately place other information that they know to be true, on their bar</w:t>
            </w:r>
          </w:p>
          <w:p w:rsidR="00E51DFD" w:rsidRPr="00E51DFD" w:rsidRDefault="00E51DFD" w:rsidP="00E51DFD">
            <w:pPr>
              <w:spacing w:before="60"/>
              <w:rPr>
                <w:rFonts w:ascii="Calibri" w:hAnsi="Calibri" w:cs="Times New Roman"/>
                <w:b/>
              </w:rPr>
            </w:pPr>
            <w:r w:rsidRPr="00E51DFD">
              <w:rPr>
                <w:rFonts w:ascii="Calibri" w:hAnsi="Calibri" w:cs="Times New Roman"/>
                <w:szCs w:val="20"/>
              </w:rPr>
              <w:t>To be able to use the bar to solve a range of problems involving direct proportion</w:t>
            </w:r>
          </w:p>
        </w:tc>
      </w:tr>
      <w:tr w:rsidR="00E51DFD" w:rsidRPr="00E51DFD" w:rsidTr="00E51DFD">
        <w:tc>
          <w:tcPr>
            <w:tcW w:w="10205" w:type="dxa"/>
            <w:tcBorders>
              <w:top w:val="single" w:sz="12" w:space="0" w:color="auto"/>
              <w:left w:val="single" w:sz="12" w:space="0" w:color="auto"/>
              <w:bottom w:val="nil"/>
              <w:right w:val="single" w:sz="12" w:space="0" w:color="auto"/>
            </w:tcBorders>
            <w:shd w:val="clear" w:color="auto" w:fill="EEECE1" w:themeFill="background2"/>
          </w:tcPr>
          <w:p w:rsidR="00E51DFD" w:rsidRPr="00E51DFD" w:rsidRDefault="00E51DFD" w:rsidP="00E51DFD">
            <w:pPr>
              <w:rPr>
                <w:rFonts w:ascii="Calibri" w:hAnsi="Calibri" w:cs="Times New Roman"/>
                <w:b/>
                <w:sz w:val="28"/>
              </w:rPr>
            </w:pPr>
            <w:r w:rsidRPr="00E51DFD">
              <w:rPr>
                <w:rFonts w:ascii="Calibri" w:hAnsi="Calibri" w:cs="Times New Roman"/>
                <w:b/>
                <w:sz w:val="28"/>
              </w:rPr>
              <w:t xml:space="preserve">2A(ii)  Percentages on the bar model  </w:t>
            </w:r>
          </w:p>
        </w:tc>
      </w:tr>
      <w:tr w:rsidR="00E51DFD" w:rsidRPr="00E51DFD" w:rsidTr="00E51DFD">
        <w:tc>
          <w:tcPr>
            <w:tcW w:w="10205" w:type="dxa"/>
            <w:tcBorders>
              <w:top w:val="nil"/>
              <w:left w:val="single" w:sz="12" w:space="0" w:color="auto"/>
              <w:bottom w:val="nil"/>
              <w:right w:val="single" w:sz="12" w:space="0" w:color="auto"/>
            </w:tcBorders>
          </w:tcPr>
          <w:p w:rsidR="00E51DFD" w:rsidRPr="00E51DFD" w:rsidRDefault="00E51DFD" w:rsidP="00E51DFD">
            <w:pPr>
              <w:spacing w:before="60"/>
              <w:rPr>
                <w:rFonts w:ascii="Calibri" w:hAnsi="Calibri" w:cs="Times New Roman"/>
                <w:szCs w:val="20"/>
              </w:rPr>
            </w:pPr>
            <w:r w:rsidRPr="00E51DFD">
              <w:rPr>
                <w:rFonts w:ascii="Calibri" w:hAnsi="Calibri" w:cs="Times New Roman"/>
                <w:b/>
                <w:szCs w:val="20"/>
              </w:rPr>
              <w:t>Lesson summary</w:t>
            </w:r>
          </w:p>
          <w:p w:rsidR="00E51DFD" w:rsidRPr="00E51DFD" w:rsidRDefault="00E51DFD" w:rsidP="00E51DFD">
            <w:pPr>
              <w:numPr>
                <w:ilvl w:val="0"/>
                <w:numId w:val="6"/>
              </w:numPr>
              <w:ind w:left="318" w:hanging="284"/>
              <w:rPr>
                <w:rFonts w:ascii="Calibri" w:hAnsi="Calibri" w:cs="Times New Roman"/>
                <w:szCs w:val="20"/>
              </w:rPr>
            </w:pPr>
            <w:r w:rsidRPr="00E51DFD">
              <w:rPr>
                <w:rFonts w:ascii="Calibri" w:hAnsi="Calibri" w:cs="Times New Roman"/>
                <w:szCs w:val="20"/>
              </w:rPr>
              <w:t xml:space="preserve">In this lesson students continue to work with the bar model, as a follow on from the work begun in lesson </w:t>
            </w:r>
            <w:proofErr w:type="gramStart"/>
            <w:r w:rsidRPr="00E51DFD">
              <w:rPr>
                <w:rFonts w:ascii="Calibri" w:hAnsi="Calibri" w:cs="Times New Roman"/>
                <w:szCs w:val="20"/>
              </w:rPr>
              <w:t>2A(</w:t>
            </w:r>
            <w:proofErr w:type="spellStart"/>
            <w:proofErr w:type="gramEnd"/>
            <w:r w:rsidRPr="00E51DFD">
              <w:rPr>
                <w:rFonts w:ascii="Calibri" w:hAnsi="Calibri" w:cs="Times New Roman"/>
                <w:szCs w:val="20"/>
              </w:rPr>
              <w:t>i</w:t>
            </w:r>
            <w:proofErr w:type="spellEnd"/>
            <w:r w:rsidRPr="00E51DFD">
              <w:rPr>
                <w:rFonts w:ascii="Calibri" w:hAnsi="Calibri" w:cs="Times New Roman"/>
                <w:szCs w:val="20"/>
              </w:rPr>
              <w:t>).</w:t>
            </w:r>
          </w:p>
          <w:p w:rsidR="00E51DFD" w:rsidRPr="00E51DFD" w:rsidRDefault="00E51DFD" w:rsidP="00E51DFD">
            <w:pPr>
              <w:numPr>
                <w:ilvl w:val="0"/>
                <w:numId w:val="6"/>
              </w:numPr>
              <w:ind w:left="318" w:hanging="284"/>
              <w:rPr>
                <w:rFonts w:ascii="Calibri" w:hAnsi="Calibri" w:cs="Times New Roman"/>
                <w:szCs w:val="20"/>
              </w:rPr>
            </w:pPr>
            <w:r w:rsidRPr="00E51DFD">
              <w:rPr>
                <w:rFonts w:ascii="Calibri" w:hAnsi="Calibri" w:cs="Times New Roman"/>
                <w:szCs w:val="20"/>
              </w:rPr>
              <w:t>The context of a computer download bar is used to introduce the percentage bar. Students experience a range of other contexts, but unlike the contexts chosen for lesson 2a here, the contexts do not immediately conjure up a rectangular image if you were to represent them pictorially.</w:t>
            </w:r>
          </w:p>
          <w:p w:rsidR="00E51DFD" w:rsidRPr="00E51DFD" w:rsidRDefault="00E51DFD" w:rsidP="00E51DFD">
            <w:pPr>
              <w:autoSpaceDE w:val="0"/>
              <w:autoSpaceDN w:val="0"/>
              <w:adjustRightInd w:val="0"/>
              <w:rPr>
                <w:rFonts w:ascii="Calibri" w:hAnsi="Calibri" w:cs="Calibri"/>
                <w:szCs w:val="20"/>
              </w:rPr>
            </w:pPr>
            <w:r w:rsidRPr="00E51DFD">
              <w:rPr>
                <w:rFonts w:ascii="Calibri" w:hAnsi="Calibri" w:cs="Times New Roman"/>
                <w:szCs w:val="20"/>
              </w:rPr>
              <w:t>Students are encouraged to develop their use of the percentage bar to answer a wide range of percentage questions including finding a percentage of, percentage reduction, reverse percentage problems and expressing one amount as a percentage of another.</w:t>
            </w:r>
          </w:p>
        </w:tc>
      </w:tr>
      <w:tr w:rsidR="00E51DFD" w:rsidRPr="00E51DFD" w:rsidTr="00E51DFD">
        <w:tc>
          <w:tcPr>
            <w:tcW w:w="10205" w:type="dxa"/>
            <w:tcBorders>
              <w:top w:val="nil"/>
              <w:left w:val="single" w:sz="12" w:space="0" w:color="auto"/>
              <w:bottom w:val="single" w:sz="12" w:space="0" w:color="auto"/>
              <w:right w:val="single" w:sz="12" w:space="0" w:color="auto"/>
            </w:tcBorders>
          </w:tcPr>
          <w:p w:rsidR="00E51DFD" w:rsidRPr="00E51DFD" w:rsidRDefault="00E51DFD" w:rsidP="00E51DFD">
            <w:pPr>
              <w:spacing w:before="60"/>
              <w:rPr>
                <w:rFonts w:ascii="Calibri" w:hAnsi="Calibri" w:cs="Times New Roman"/>
                <w:szCs w:val="20"/>
              </w:rPr>
            </w:pPr>
            <w:r w:rsidRPr="00E51DFD">
              <w:rPr>
                <w:rFonts w:ascii="Calibri" w:hAnsi="Calibri" w:cs="Times New Roman"/>
                <w:b/>
                <w:szCs w:val="20"/>
              </w:rPr>
              <w:t>Focus of students’ learning</w:t>
            </w:r>
            <w:r w:rsidRPr="00E51DFD">
              <w:rPr>
                <w:rFonts w:ascii="Calibri" w:hAnsi="Calibri" w:cs="Times New Roman"/>
                <w:szCs w:val="20"/>
              </w:rPr>
              <w:t xml:space="preserve"> </w:t>
            </w:r>
          </w:p>
          <w:p w:rsidR="00E51DFD" w:rsidRPr="00E51DFD" w:rsidRDefault="00E51DFD" w:rsidP="00E51DFD">
            <w:pPr>
              <w:numPr>
                <w:ilvl w:val="0"/>
                <w:numId w:val="6"/>
              </w:numPr>
              <w:ind w:left="318" w:hanging="318"/>
              <w:rPr>
                <w:rFonts w:ascii="Calibri" w:hAnsi="Calibri" w:cs="Times New Roman"/>
                <w:szCs w:val="20"/>
              </w:rPr>
            </w:pPr>
            <w:r w:rsidRPr="00E51DFD">
              <w:rPr>
                <w:rFonts w:ascii="Calibri" w:hAnsi="Calibri" w:cs="Times New Roman"/>
                <w:szCs w:val="20"/>
              </w:rPr>
              <w:t>To develop strategies for accurately portioning up a percentage bar, using landmark percentages such as 50%, 25%, 75%, 10%, 20%, 15%</w:t>
            </w:r>
          </w:p>
          <w:p w:rsidR="00E51DFD" w:rsidRPr="00E51DFD" w:rsidRDefault="00E51DFD" w:rsidP="00E51DFD">
            <w:pPr>
              <w:numPr>
                <w:ilvl w:val="0"/>
                <w:numId w:val="6"/>
              </w:numPr>
              <w:ind w:left="318" w:hanging="318"/>
              <w:rPr>
                <w:rFonts w:ascii="Calibri" w:hAnsi="Calibri" w:cs="Times New Roman"/>
                <w:szCs w:val="20"/>
              </w:rPr>
            </w:pPr>
            <w:r w:rsidRPr="00E51DFD">
              <w:rPr>
                <w:rFonts w:ascii="Calibri" w:hAnsi="Calibri" w:cs="Times New Roman"/>
                <w:szCs w:val="20"/>
              </w:rPr>
              <w:t>To be able to draw a percentage bar to represent a particular context</w:t>
            </w:r>
          </w:p>
          <w:p w:rsidR="00E51DFD" w:rsidRPr="00E51DFD" w:rsidRDefault="00E51DFD" w:rsidP="00E51DFD">
            <w:pPr>
              <w:numPr>
                <w:ilvl w:val="0"/>
                <w:numId w:val="6"/>
              </w:numPr>
              <w:ind w:left="318" w:hanging="318"/>
              <w:rPr>
                <w:rFonts w:ascii="Calibri" w:hAnsi="Calibri" w:cs="Times New Roman"/>
                <w:szCs w:val="20"/>
              </w:rPr>
            </w:pPr>
            <w:r w:rsidRPr="00E51DFD">
              <w:rPr>
                <w:rFonts w:ascii="Calibri" w:hAnsi="Calibri" w:cs="Times New Roman"/>
                <w:szCs w:val="20"/>
              </w:rPr>
              <w:t>To be able to accurately place other information that they know to be true on their percentage bar</w:t>
            </w:r>
          </w:p>
          <w:p w:rsidR="00E51DFD" w:rsidRPr="00E51DFD" w:rsidRDefault="00E51DFD" w:rsidP="00E51DFD">
            <w:pPr>
              <w:spacing w:before="60"/>
              <w:rPr>
                <w:rFonts w:ascii="Calibri" w:hAnsi="Calibri" w:cs="Times New Roman"/>
                <w:b/>
                <w:szCs w:val="20"/>
              </w:rPr>
            </w:pPr>
            <w:r w:rsidRPr="00E51DFD">
              <w:rPr>
                <w:rFonts w:ascii="Calibri" w:hAnsi="Calibri" w:cs="Times New Roman"/>
                <w:szCs w:val="20"/>
              </w:rPr>
              <w:t>To be able to use the bar to solve a range of percentage problems</w:t>
            </w:r>
          </w:p>
        </w:tc>
      </w:tr>
      <w:tr w:rsidR="00E51DFD" w:rsidRPr="00E51DFD" w:rsidTr="00E51DFD">
        <w:tc>
          <w:tcPr>
            <w:tcW w:w="10205" w:type="dxa"/>
            <w:tcBorders>
              <w:top w:val="single" w:sz="12" w:space="0" w:color="auto"/>
              <w:left w:val="single" w:sz="12" w:space="0" w:color="auto"/>
              <w:bottom w:val="single" w:sz="12" w:space="0" w:color="auto"/>
              <w:right w:val="single" w:sz="12" w:space="0" w:color="auto"/>
            </w:tcBorders>
          </w:tcPr>
          <w:p w:rsidR="00E51DFD" w:rsidRDefault="00E51DFD" w:rsidP="00E51DFD">
            <w:pPr>
              <w:spacing w:before="60" w:after="120"/>
              <w:rPr>
                <w:rFonts w:ascii="Calibri" w:hAnsi="Calibri"/>
                <w:b/>
                <w:sz w:val="28"/>
                <w:szCs w:val="24"/>
              </w:rPr>
            </w:pPr>
            <w:r w:rsidRPr="00E51DFD">
              <w:rPr>
                <w:rFonts w:ascii="Calibri" w:hAnsi="Calibri"/>
                <w:b/>
                <w:sz w:val="28"/>
                <w:szCs w:val="24"/>
              </w:rPr>
              <w:t>RME overview</w:t>
            </w:r>
          </w:p>
          <w:p w:rsidR="00E51DFD" w:rsidRPr="00E51DFD" w:rsidRDefault="00E51DFD" w:rsidP="00E51DFD">
            <w:pPr>
              <w:spacing w:before="60"/>
              <w:rPr>
                <w:rFonts w:ascii="Calibri" w:hAnsi="Calibri"/>
                <w:b/>
                <w:szCs w:val="24"/>
              </w:rPr>
            </w:pPr>
            <w:r w:rsidRPr="00E51DFD">
              <w:rPr>
                <w:rFonts w:ascii="Calibri" w:hAnsi="Calibri"/>
                <w:b/>
                <w:szCs w:val="24"/>
              </w:rPr>
              <w:t>Lesson 2A(</w:t>
            </w:r>
            <w:proofErr w:type="spellStart"/>
            <w:r w:rsidRPr="00E51DFD">
              <w:rPr>
                <w:rFonts w:ascii="Calibri" w:hAnsi="Calibri"/>
                <w:b/>
                <w:szCs w:val="24"/>
              </w:rPr>
              <w:t>i</w:t>
            </w:r>
            <w:proofErr w:type="spellEnd"/>
            <w:r w:rsidRPr="00E51DFD">
              <w:rPr>
                <w:rFonts w:ascii="Calibri" w:hAnsi="Calibri"/>
                <w:b/>
                <w:szCs w:val="24"/>
              </w:rPr>
              <w:t>)</w:t>
            </w:r>
          </w:p>
          <w:p w:rsidR="00E51DFD" w:rsidRPr="00E51DFD" w:rsidRDefault="00E51DFD" w:rsidP="00E51DFD">
            <w:pPr>
              <w:numPr>
                <w:ilvl w:val="0"/>
                <w:numId w:val="3"/>
              </w:numPr>
              <w:spacing w:before="60" w:after="120"/>
              <w:ind w:left="426" w:hanging="284"/>
              <w:rPr>
                <w:rFonts w:ascii="Calibri" w:hAnsi="Calibri"/>
                <w:szCs w:val="24"/>
              </w:rPr>
            </w:pPr>
            <w:r w:rsidRPr="00E51DFD">
              <w:rPr>
                <w:rFonts w:ascii="Calibri" w:hAnsi="Calibri"/>
                <w:szCs w:val="24"/>
              </w:rPr>
              <w:t xml:space="preserve">In Realistic Maths Education (RME), the bar model is seen as a very helpful and widely applicable model. (See Van Den </w:t>
            </w:r>
            <w:proofErr w:type="spellStart"/>
            <w:r w:rsidRPr="00E51DFD">
              <w:rPr>
                <w:rFonts w:ascii="Calibri" w:hAnsi="Calibri"/>
                <w:szCs w:val="24"/>
              </w:rPr>
              <w:t>Heuvel-Panhuizen</w:t>
            </w:r>
            <w:proofErr w:type="spellEnd"/>
            <w:r w:rsidRPr="00E51DFD">
              <w:rPr>
                <w:rFonts w:ascii="Calibri" w:hAnsi="Calibri"/>
                <w:szCs w:val="24"/>
              </w:rPr>
              <w:t xml:space="preserve"> (2003); ‘The didactical use of models in Realistic Mathematics Education’.) It offers ways of enabling students to make sense of a wide range of problems including those relating to fractions, percentages, decimals, ratio and proportional reasoning in general.</w:t>
            </w:r>
          </w:p>
          <w:p w:rsidR="00E51DFD" w:rsidRPr="00E51DFD" w:rsidRDefault="00E51DFD" w:rsidP="00E51DFD">
            <w:pPr>
              <w:numPr>
                <w:ilvl w:val="0"/>
                <w:numId w:val="3"/>
              </w:numPr>
              <w:spacing w:before="60" w:after="120"/>
              <w:ind w:left="426" w:hanging="284"/>
              <w:rPr>
                <w:rFonts w:ascii="Calibri" w:hAnsi="Calibri"/>
                <w:szCs w:val="24"/>
              </w:rPr>
            </w:pPr>
            <w:r w:rsidRPr="00E51DFD">
              <w:rPr>
                <w:rFonts w:ascii="Calibri" w:hAnsi="Calibri"/>
                <w:szCs w:val="24"/>
              </w:rPr>
              <w:t xml:space="preserve">The contexts used in this lesson lead to various versions of the bar. </w:t>
            </w:r>
            <w:proofErr w:type="spellStart"/>
            <w:r w:rsidRPr="00E51DFD">
              <w:rPr>
                <w:rFonts w:ascii="Calibri" w:hAnsi="Calibri"/>
                <w:szCs w:val="24"/>
              </w:rPr>
              <w:t>E.g</w:t>
            </w:r>
            <w:proofErr w:type="spellEnd"/>
            <w:r w:rsidRPr="00E51DFD">
              <w:rPr>
                <w:rFonts w:ascii="Calibri" w:hAnsi="Calibri"/>
                <w:szCs w:val="24"/>
              </w:rPr>
              <w:t>:</w:t>
            </w:r>
          </w:p>
          <w:p w:rsidR="00E51DFD" w:rsidRPr="00E51DFD" w:rsidRDefault="00E51DFD" w:rsidP="00E51DFD">
            <w:pPr>
              <w:spacing w:before="60" w:after="120"/>
              <w:ind w:left="426"/>
              <w:rPr>
                <w:rFonts w:ascii="Calibri" w:hAnsi="Calibri"/>
                <w:szCs w:val="24"/>
              </w:rPr>
            </w:pPr>
            <w:r w:rsidRPr="00E51DFD">
              <w:rPr>
                <w:rFonts w:ascii="Calibri" w:hAnsi="Calibri"/>
                <w:szCs w:val="24"/>
              </w:rPr>
              <w:t>The hot water urn leads to a vertical bar which is sectioned up into a fraction bar</w:t>
            </w:r>
          </w:p>
          <w:p w:rsidR="00E51DFD" w:rsidRPr="00E51DFD" w:rsidRDefault="00E51DFD" w:rsidP="00E51DFD">
            <w:pPr>
              <w:spacing w:before="60" w:after="120"/>
              <w:ind w:left="426"/>
              <w:rPr>
                <w:rFonts w:ascii="Calibri" w:hAnsi="Calibri"/>
                <w:szCs w:val="24"/>
              </w:rPr>
            </w:pPr>
            <w:r w:rsidRPr="00E51DFD">
              <w:rPr>
                <w:rFonts w:ascii="Calibri" w:hAnsi="Calibri"/>
                <w:szCs w:val="24"/>
              </w:rPr>
              <w:t xml:space="preserve">The ribbon leads to a horizontal bar, which can be described as a ‘double number’ bar, because it represents two quantities, length and cost. </w:t>
            </w:r>
          </w:p>
          <w:p w:rsidR="00E51DFD" w:rsidRDefault="00E51DFD" w:rsidP="00E51DFD">
            <w:pPr>
              <w:spacing w:before="60"/>
              <w:rPr>
                <w:rFonts w:ascii="Calibri" w:hAnsi="Calibri"/>
                <w:szCs w:val="24"/>
              </w:rPr>
            </w:pPr>
            <w:r w:rsidRPr="00E51DFD">
              <w:rPr>
                <w:rFonts w:ascii="Calibri" w:hAnsi="Calibri"/>
                <w:szCs w:val="24"/>
              </w:rPr>
              <w:t>Initially the ‘bars’ appear as part of the context itself, but gradually students begin to draw more ‘mathematised’ versions. This is one of the indicators of progress in RME, that students start to recognise the generalizability of the bar model to a variety of situations. In that sense, this lesson continues the work begun in Unit 1 lesson 1c and 1d.</w:t>
            </w:r>
          </w:p>
          <w:p w:rsidR="00E51DFD" w:rsidRPr="00E51DFD" w:rsidRDefault="00E51DFD" w:rsidP="00E51DFD">
            <w:pPr>
              <w:spacing w:before="60"/>
              <w:rPr>
                <w:rFonts w:ascii="Calibri" w:hAnsi="Calibri"/>
                <w:szCs w:val="24"/>
              </w:rPr>
            </w:pPr>
          </w:p>
          <w:p w:rsidR="00E51DFD" w:rsidRPr="00E51DFD" w:rsidRDefault="00E51DFD" w:rsidP="00E51DFD">
            <w:pPr>
              <w:spacing w:before="60"/>
              <w:rPr>
                <w:rFonts w:ascii="Calibri" w:hAnsi="Calibri"/>
                <w:b/>
                <w:szCs w:val="24"/>
              </w:rPr>
            </w:pPr>
            <w:r w:rsidRPr="00E51DFD">
              <w:rPr>
                <w:rFonts w:ascii="Calibri" w:hAnsi="Calibri"/>
                <w:b/>
                <w:szCs w:val="24"/>
              </w:rPr>
              <w:lastRenderedPageBreak/>
              <w:t>Lesson 2A(i</w:t>
            </w:r>
            <w:r>
              <w:rPr>
                <w:rFonts w:ascii="Calibri" w:hAnsi="Calibri"/>
                <w:b/>
                <w:szCs w:val="24"/>
              </w:rPr>
              <w:t>i</w:t>
            </w:r>
            <w:r w:rsidRPr="00E51DFD">
              <w:rPr>
                <w:rFonts w:ascii="Calibri" w:hAnsi="Calibri"/>
                <w:b/>
                <w:szCs w:val="24"/>
              </w:rPr>
              <w:t>)</w:t>
            </w:r>
          </w:p>
          <w:p w:rsidR="00E51DFD" w:rsidRPr="00E51DFD" w:rsidRDefault="00E51DFD" w:rsidP="00E51DFD">
            <w:pPr>
              <w:numPr>
                <w:ilvl w:val="0"/>
                <w:numId w:val="3"/>
              </w:numPr>
              <w:spacing w:before="60" w:after="120" w:line="230" w:lineRule="atLeast"/>
              <w:ind w:left="426" w:hanging="284"/>
              <w:rPr>
                <w:rFonts w:ascii="Calibri" w:eastAsia="Times New Roman" w:hAnsi="Calibri" w:cs="Times New Roman"/>
                <w:lang w:eastAsia="en-GB"/>
              </w:rPr>
            </w:pPr>
            <w:r w:rsidRPr="00E51DFD">
              <w:rPr>
                <w:rFonts w:ascii="Calibri" w:eastAsia="Times New Roman" w:hAnsi="Calibri" w:cs="Times New Roman"/>
                <w:lang w:eastAsia="en-GB"/>
              </w:rPr>
              <w:t xml:space="preserve">This lesson provides another opportunity for students to see and work with the bar model. In Realistic Maths Education (RME), the bar model is seen as a very helpful way of enabling students to structure their thinking in a number of topic areas. For a detailed exemplification of how the bar model is used and developed for the case of percentage, see Van Den </w:t>
            </w:r>
            <w:proofErr w:type="spellStart"/>
            <w:r w:rsidRPr="00E51DFD">
              <w:rPr>
                <w:rFonts w:ascii="Calibri" w:eastAsia="Times New Roman" w:hAnsi="Calibri" w:cs="Times New Roman"/>
                <w:lang w:eastAsia="en-GB"/>
              </w:rPr>
              <w:t>Heuvel-Panhuizen</w:t>
            </w:r>
            <w:proofErr w:type="spellEnd"/>
            <w:r w:rsidRPr="00E51DFD">
              <w:rPr>
                <w:rFonts w:ascii="Calibri" w:eastAsia="Times New Roman" w:hAnsi="Calibri" w:cs="Times New Roman"/>
                <w:lang w:eastAsia="en-GB"/>
              </w:rPr>
              <w:t xml:space="preserve"> (2003); ‘The didactical use of models in Realistic Mathematics Education’.</w:t>
            </w:r>
          </w:p>
          <w:p w:rsidR="00E51DFD" w:rsidRPr="00E51DFD" w:rsidRDefault="00E51DFD" w:rsidP="00E51DFD">
            <w:pPr>
              <w:spacing w:before="60"/>
              <w:rPr>
                <w:rFonts w:ascii="Calibri" w:hAnsi="Calibri" w:cs="Times New Roman"/>
                <w:b/>
                <w:szCs w:val="20"/>
              </w:rPr>
            </w:pPr>
            <w:r w:rsidRPr="00E51DFD">
              <w:rPr>
                <w:rFonts w:ascii="Calibri" w:eastAsia="Times New Roman" w:hAnsi="Calibri" w:cs="Times New Roman"/>
                <w:sz w:val="24"/>
                <w:szCs w:val="24"/>
                <w:lang w:eastAsia="en-GB"/>
              </w:rPr>
              <w:t xml:space="preserve">When this approach was trialled in the UK, project teachers reported how helpful the bar model was as a way of enabling their students to make connections across many topic areas that students may previously have viewed as unrelated. (See ‘Using Realistic Mathematics Education in UK classrooms’, P. Dickinson &amp; </w:t>
            </w:r>
            <w:proofErr w:type="spellStart"/>
            <w:r w:rsidRPr="00E51DFD">
              <w:rPr>
                <w:rFonts w:ascii="Calibri" w:eastAsia="Times New Roman" w:hAnsi="Calibri" w:cs="Times New Roman"/>
                <w:sz w:val="24"/>
                <w:szCs w:val="24"/>
                <w:lang w:eastAsia="en-GB"/>
              </w:rPr>
              <w:t>S.Hough</w:t>
            </w:r>
            <w:proofErr w:type="spellEnd"/>
            <w:r w:rsidRPr="00E51DFD">
              <w:rPr>
                <w:rFonts w:ascii="Calibri" w:eastAsia="Times New Roman" w:hAnsi="Calibri" w:cs="Times New Roman"/>
                <w:sz w:val="24"/>
                <w:szCs w:val="24"/>
                <w:lang w:eastAsia="en-GB"/>
              </w:rPr>
              <w:t xml:space="preserve"> at </w:t>
            </w:r>
            <w:hyperlink r:id="rId8" w:history="1">
              <w:r w:rsidRPr="00E51DFD">
                <w:rPr>
                  <w:rFonts w:ascii="Calibri" w:eastAsia="Times New Roman" w:hAnsi="Calibri" w:cs="Times New Roman"/>
                  <w:color w:val="0000FF"/>
                  <w:sz w:val="24"/>
                  <w:szCs w:val="24"/>
                  <w:u w:val="single"/>
                  <w:lang w:eastAsia="en-GB"/>
                </w:rPr>
                <w:t>www.mei.org.uk/files/pdf/RME_Impact_booklet.pdf</w:t>
              </w:r>
            </w:hyperlink>
            <w:r w:rsidRPr="00E51DFD">
              <w:rPr>
                <w:rFonts w:ascii="Calibri" w:eastAsia="Times New Roman" w:hAnsi="Calibri" w:cs="Times New Roman"/>
                <w:sz w:val="24"/>
                <w:szCs w:val="24"/>
                <w:lang w:eastAsia="en-GB"/>
              </w:rPr>
              <w:t xml:space="preserve"> )‎</w:t>
            </w:r>
          </w:p>
        </w:tc>
      </w:tr>
    </w:tbl>
    <w:tbl>
      <w:tblPr>
        <w:tblStyle w:val="TableGrid2"/>
        <w:tblpPr w:leftFromText="180" w:rightFromText="180" w:vertAnchor="page" w:horzAnchor="margin" w:tblpY="4852"/>
        <w:tblW w:w="10205" w:type="dxa"/>
        <w:tblLook w:val="04A0" w:firstRow="1" w:lastRow="0" w:firstColumn="1" w:lastColumn="0" w:noHBand="0" w:noVBand="1"/>
      </w:tblPr>
      <w:tblGrid>
        <w:gridCol w:w="10205"/>
      </w:tblGrid>
      <w:tr w:rsidR="004D10BD" w:rsidRPr="00E51DFD" w:rsidTr="004D10BD">
        <w:tc>
          <w:tcPr>
            <w:tcW w:w="10205" w:type="dxa"/>
            <w:tcBorders>
              <w:left w:val="single" w:sz="12" w:space="0" w:color="auto"/>
              <w:bottom w:val="single" w:sz="12" w:space="0" w:color="auto"/>
              <w:right w:val="single" w:sz="12" w:space="0" w:color="auto"/>
            </w:tcBorders>
          </w:tcPr>
          <w:p w:rsidR="004D10BD" w:rsidRPr="00E51DFD" w:rsidRDefault="004D10BD" w:rsidP="004D10BD">
            <w:pPr>
              <w:rPr>
                <w:rFonts w:ascii="Calibri" w:hAnsi="Calibri" w:cs="Times New Roman"/>
                <w:b/>
                <w:sz w:val="36"/>
              </w:rPr>
            </w:pPr>
            <w:r w:rsidRPr="00E51DFD">
              <w:rPr>
                <w:rFonts w:ascii="Calibri" w:hAnsi="Calibri" w:cs="Times New Roman"/>
                <w:b/>
                <w:sz w:val="32"/>
              </w:rPr>
              <w:lastRenderedPageBreak/>
              <w:t xml:space="preserve">Unit 2B Lessons        </w:t>
            </w:r>
          </w:p>
          <w:p w:rsidR="004D10BD" w:rsidRPr="00E51DFD" w:rsidRDefault="004D10BD" w:rsidP="004D10BD">
            <w:pPr>
              <w:spacing w:after="120"/>
              <w:rPr>
                <w:rFonts w:ascii="Calibri" w:hAnsi="Calibri" w:cs="Times New Roman"/>
              </w:rPr>
            </w:pPr>
            <w:r w:rsidRPr="00E51DFD">
              <w:rPr>
                <w:rFonts w:ascii="Calibri" w:hAnsi="Calibri" w:cs="Times New Roman"/>
              </w:rPr>
              <w:t xml:space="preserve">In this pair of lessons, students look at a variety of ‘real life’ contexts and try to decide whether they have a multiplicative structure. Various representations are given to support students’ thinking, starting with tables of numbers and Cartesian graphs, but particular emphasis is put on the probably less familiar double number line (DNL). Similar contexts are explored in other Unit 2 lessons. The DNL also features in other Unit 2 lessons, where it is presented as a powerful tool for solving multiplicative problems. In my lessons the emphasis on the DNL is slightly different, </w:t>
            </w:r>
            <w:proofErr w:type="spellStart"/>
            <w:r w:rsidRPr="00E51DFD">
              <w:rPr>
                <w:rFonts w:ascii="Calibri" w:hAnsi="Calibri" w:cs="Times New Roman"/>
              </w:rPr>
              <w:t>ie</w:t>
            </w:r>
            <w:proofErr w:type="spellEnd"/>
            <w:r w:rsidRPr="00E51DFD">
              <w:rPr>
                <w:rFonts w:ascii="Calibri" w:hAnsi="Calibri" w:cs="Times New Roman"/>
              </w:rPr>
              <w:t xml:space="preserve"> it is used more to explore the nature of different kinds of relationships and of different methods for solving multiplicative problems.</w:t>
            </w:r>
          </w:p>
        </w:tc>
      </w:tr>
      <w:tr w:rsidR="004D10BD" w:rsidRPr="00E51DFD" w:rsidTr="004D10BD">
        <w:tc>
          <w:tcPr>
            <w:tcW w:w="10205" w:type="dxa"/>
            <w:tcBorders>
              <w:top w:val="single" w:sz="12" w:space="0" w:color="auto"/>
              <w:left w:val="single" w:sz="12" w:space="0" w:color="auto"/>
              <w:bottom w:val="nil"/>
              <w:right w:val="single" w:sz="12" w:space="0" w:color="auto"/>
            </w:tcBorders>
            <w:shd w:val="clear" w:color="auto" w:fill="EEECE1" w:themeFill="background2"/>
          </w:tcPr>
          <w:p w:rsidR="004D10BD" w:rsidRPr="00E51DFD" w:rsidRDefault="004D10BD" w:rsidP="004D10BD">
            <w:pPr>
              <w:rPr>
                <w:rFonts w:ascii="Calibri" w:hAnsi="Calibri" w:cs="Times New Roman"/>
                <w:b/>
                <w:sz w:val="28"/>
              </w:rPr>
            </w:pPr>
            <w:r w:rsidRPr="00E51DFD">
              <w:rPr>
                <w:rFonts w:ascii="Calibri" w:hAnsi="Calibri" w:cs="Times New Roman"/>
                <w:b/>
                <w:sz w:val="28"/>
              </w:rPr>
              <w:t>2B(</w:t>
            </w:r>
            <w:proofErr w:type="spellStart"/>
            <w:r w:rsidRPr="00E51DFD">
              <w:rPr>
                <w:rFonts w:ascii="Calibri" w:hAnsi="Calibri" w:cs="Times New Roman"/>
                <w:b/>
                <w:sz w:val="28"/>
              </w:rPr>
              <w:t>i</w:t>
            </w:r>
            <w:proofErr w:type="spellEnd"/>
            <w:r w:rsidRPr="00E51DFD">
              <w:rPr>
                <w:rFonts w:ascii="Calibri" w:hAnsi="Calibri" w:cs="Times New Roman"/>
                <w:b/>
                <w:sz w:val="28"/>
              </w:rPr>
              <w:t>)  Using the DNL to explore relations</w:t>
            </w:r>
          </w:p>
        </w:tc>
      </w:tr>
      <w:tr w:rsidR="004D10BD" w:rsidRPr="00E51DFD" w:rsidTr="004D10BD">
        <w:tc>
          <w:tcPr>
            <w:tcW w:w="10205" w:type="dxa"/>
            <w:tcBorders>
              <w:top w:val="nil"/>
              <w:left w:val="single" w:sz="12" w:space="0" w:color="auto"/>
              <w:bottom w:val="nil"/>
              <w:right w:val="single" w:sz="12" w:space="0" w:color="auto"/>
            </w:tcBorders>
          </w:tcPr>
          <w:p w:rsidR="004D10BD" w:rsidRPr="00E51DFD" w:rsidRDefault="004D10BD" w:rsidP="004D10BD">
            <w:pPr>
              <w:spacing w:before="60"/>
              <w:rPr>
                <w:rFonts w:ascii="Calibri" w:hAnsi="Calibri" w:cs="Times New Roman"/>
              </w:rPr>
            </w:pPr>
            <w:r w:rsidRPr="00E51DFD">
              <w:rPr>
                <w:rFonts w:ascii="Calibri" w:hAnsi="Calibri" w:cs="Times New Roman"/>
                <w:b/>
              </w:rPr>
              <w:t>Lesson summary</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In this lesson we look at numerical relations that arise from a variety of contexts.</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We represent the relations in several ways, starting with the relatively familiar</w:t>
            </w:r>
          </w:p>
          <w:p w:rsidR="004D10BD" w:rsidRPr="00E51DFD" w:rsidRDefault="004D10BD" w:rsidP="004D10BD">
            <w:pPr>
              <w:autoSpaceDE w:val="0"/>
              <w:autoSpaceDN w:val="0"/>
              <w:adjustRightInd w:val="0"/>
              <w:rPr>
                <w:rFonts w:ascii="Calibri" w:hAnsi="Calibri" w:cs="Calibri"/>
              </w:rPr>
            </w:pPr>
            <w:proofErr w:type="gramStart"/>
            <w:r w:rsidRPr="00E51DFD">
              <w:rPr>
                <w:rFonts w:ascii="Calibri" w:hAnsi="Calibri" w:cs="Calibri"/>
              </w:rPr>
              <w:t>table</w:t>
            </w:r>
            <w:proofErr w:type="gramEnd"/>
            <w:r w:rsidRPr="00E51DFD">
              <w:rPr>
                <w:rFonts w:ascii="Calibri" w:hAnsi="Calibri" w:cs="Calibri"/>
              </w:rPr>
              <w:t>, mapping diagram and Cartesian graph. However, for most of the lesson we</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consider how relations can be represented on a double number line (DNL) and</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we compare the resulting DNLs to help us differentiate between, and identify the</w:t>
            </w:r>
          </w:p>
          <w:p w:rsidR="004D10BD" w:rsidRPr="00E51DFD" w:rsidRDefault="004D10BD" w:rsidP="004D10BD">
            <w:pPr>
              <w:autoSpaceDE w:val="0"/>
              <w:autoSpaceDN w:val="0"/>
              <w:adjustRightInd w:val="0"/>
              <w:rPr>
                <w:rFonts w:ascii="Calibri" w:hAnsi="Calibri" w:cs="Calibri"/>
              </w:rPr>
            </w:pPr>
            <w:proofErr w:type="gramStart"/>
            <w:r w:rsidRPr="00E51DFD">
              <w:rPr>
                <w:rFonts w:ascii="Calibri" w:hAnsi="Calibri" w:cs="Calibri"/>
              </w:rPr>
              <w:t>characteristics</w:t>
            </w:r>
            <w:proofErr w:type="gramEnd"/>
            <w:r w:rsidRPr="00E51DFD">
              <w:rPr>
                <w:rFonts w:ascii="Calibri" w:hAnsi="Calibri" w:cs="Calibri"/>
              </w:rPr>
              <w:t xml:space="preserve"> of, ratio and non-ratio relations.</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In the second lesson, we consider how the DNL can be used to analyse and solve progressively</w:t>
            </w:r>
          </w:p>
          <w:p w:rsidR="004D10BD" w:rsidRPr="00E51DFD" w:rsidRDefault="004D10BD" w:rsidP="004D10BD">
            <w:pPr>
              <w:autoSpaceDE w:val="0"/>
              <w:autoSpaceDN w:val="0"/>
              <w:adjustRightInd w:val="0"/>
              <w:rPr>
                <w:rFonts w:ascii="Calibri" w:hAnsi="Calibri" w:cs="Calibri"/>
              </w:rPr>
            </w:pPr>
            <w:proofErr w:type="gramStart"/>
            <w:r w:rsidRPr="00E51DFD">
              <w:rPr>
                <w:rFonts w:ascii="Calibri" w:hAnsi="Calibri" w:cs="Calibri"/>
              </w:rPr>
              <w:t>more</w:t>
            </w:r>
            <w:proofErr w:type="gramEnd"/>
            <w:r w:rsidRPr="00E51DFD">
              <w:rPr>
                <w:rFonts w:ascii="Calibri" w:hAnsi="Calibri" w:cs="Calibri"/>
              </w:rPr>
              <w:t xml:space="preserve"> abstract ratio (and non-ratio) problems, with a focus on multiplication as scaling.</w:t>
            </w:r>
          </w:p>
        </w:tc>
      </w:tr>
      <w:tr w:rsidR="004D10BD" w:rsidRPr="00E51DFD" w:rsidTr="004D10BD">
        <w:tc>
          <w:tcPr>
            <w:tcW w:w="10205" w:type="dxa"/>
            <w:tcBorders>
              <w:top w:val="nil"/>
              <w:left w:val="single" w:sz="12" w:space="0" w:color="auto"/>
              <w:bottom w:val="nil"/>
              <w:right w:val="single" w:sz="12" w:space="0" w:color="auto"/>
            </w:tcBorders>
          </w:tcPr>
          <w:p w:rsidR="004D10BD" w:rsidRPr="00E51DFD" w:rsidRDefault="004D10BD" w:rsidP="004D10BD">
            <w:pPr>
              <w:spacing w:before="60"/>
              <w:rPr>
                <w:rFonts w:ascii="Calibri" w:hAnsi="Calibri" w:cs="Times New Roman"/>
                <w:sz w:val="28"/>
              </w:rPr>
            </w:pPr>
            <w:r w:rsidRPr="00E51DFD">
              <w:rPr>
                <w:rFonts w:ascii="Calibri" w:hAnsi="Calibri" w:cs="Times New Roman"/>
                <w:b/>
              </w:rPr>
              <w:t>Focus of students’ learning</w:t>
            </w:r>
            <w:r w:rsidRPr="00E51DFD">
              <w:rPr>
                <w:rFonts w:ascii="Calibri" w:hAnsi="Calibri" w:cs="Times New Roman"/>
              </w:rPr>
              <w:t xml:space="preserve"> </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In this lesson we use the DNL to look at ratio and non-ratio relations arising from various contexts.</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 How readily do students identify and differentiate between ratio and non-ratio relations?</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 How readily can students use the DNL to represent relations?</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 How readily can students identify different features of the DNL?</w:t>
            </w:r>
          </w:p>
          <w:p w:rsidR="004D10BD" w:rsidRPr="00E51DFD" w:rsidRDefault="004D10BD" w:rsidP="004D10BD">
            <w:pPr>
              <w:autoSpaceDE w:val="0"/>
              <w:autoSpaceDN w:val="0"/>
              <w:adjustRightInd w:val="0"/>
              <w:rPr>
                <w:rFonts w:ascii="Calibri" w:hAnsi="Calibri" w:cs="Calibri"/>
              </w:rPr>
            </w:pPr>
            <w:r w:rsidRPr="00E51DFD">
              <w:rPr>
                <w:rFonts w:ascii="Calibri" w:hAnsi="Calibri" w:cs="Calibri"/>
              </w:rPr>
              <w:t>• How readily can students use the DNL to identify and differentiate between ratio and various non-ratio relations?</w:t>
            </w:r>
          </w:p>
        </w:tc>
      </w:tr>
      <w:tr w:rsidR="004D10BD" w:rsidRPr="00E51DFD" w:rsidTr="004D10BD">
        <w:tc>
          <w:tcPr>
            <w:tcW w:w="10205" w:type="dxa"/>
            <w:tcBorders>
              <w:top w:val="single" w:sz="12" w:space="0" w:color="auto"/>
              <w:left w:val="single" w:sz="12" w:space="0" w:color="auto"/>
              <w:bottom w:val="nil"/>
              <w:right w:val="single" w:sz="12" w:space="0" w:color="auto"/>
            </w:tcBorders>
            <w:shd w:val="clear" w:color="auto" w:fill="EEECE1" w:themeFill="background2"/>
          </w:tcPr>
          <w:p w:rsidR="004D10BD" w:rsidRPr="00E51DFD" w:rsidRDefault="004D10BD" w:rsidP="004D10BD">
            <w:pPr>
              <w:rPr>
                <w:rFonts w:ascii="Calibri" w:hAnsi="Calibri" w:cs="Times New Roman"/>
                <w:b/>
                <w:sz w:val="28"/>
              </w:rPr>
            </w:pPr>
            <w:r w:rsidRPr="00E51DFD">
              <w:rPr>
                <w:rFonts w:ascii="Calibri" w:hAnsi="Calibri" w:cs="Times New Roman"/>
                <w:b/>
                <w:sz w:val="28"/>
              </w:rPr>
              <w:t>2B(ii)  Using the DNL to solve ratio (and non-ratio) tasks</w:t>
            </w:r>
          </w:p>
        </w:tc>
      </w:tr>
      <w:tr w:rsidR="004D10BD" w:rsidRPr="00E51DFD" w:rsidTr="004D10BD">
        <w:tc>
          <w:tcPr>
            <w:tcW w:w="10205" w:type="dxa"/>
            <w:tcBorders>
              <w:top w:val="nil"/>
              <w:left w:val="single" w:sz="12" w:space="0" w:color="auto"/>
              <w:bottom w:val="nil"/>
              <w:right w:val="single" w:sz="12" w:space="0" w:color="auto"/>
            </w:tcBorders>
          </w:tcPr>
          <w:p w:rsidR="004D10BD" w:rsidRPr="00E51DFD" w:rsidRDefault="004D10BD" w:rsidP="004D10BD">
            <w:pPr>
              <w:spacing w:before="60"/>
              <w:rPr>
                <w:rFonts w:ascii="Calibri" w:hAnsi="Calibri" w:cs="Times New Roman"/>
                <w:szCs w:val="20"/>
              </w:rPr>
            </w:pPr>
            <w:r w:rsidRPr="00E51DFD">
              <w:rPr>
                <w:rFonts w:ascii="Calibri" w:hAnsi="Calibri" w:cs="Times New Roman"/>
                <w:b/>
                <w:szCs w:val="20"/>
              </w:rPr>
              <w:t>Lesson summary</w:t>
            </w:r>
          </w:p>
          <w:p w:rsidR="004D10BD" w:rsidRPr="00E51DFD" w:rsidRDefault="004D10BD" w:rsidP="004D10BD">
            <w:pPr>
              <w:autoSpaceDE w:val="0"/>
              <w:autoSpaceDN w:val="0"/>
              <w:adjustRightInd w:val="0"/>
              <w:rPr>
                <w:rFonts w:ascii="Calibri" w:hAnsi="Calibri" w:cs="Calibri"/>
                <w:szCs w:val="20"/>
              </w:rPr>
            </w:pPr>
            <w:r w:rsidRPr="00E51DFD">
              <w:rPr>
                <w:rFonts w:ascii="Calibri" w:hAnsi="Calibri" w:cs="Calibri"/>
                <w:szCs w:val="20"/>
              </w:rPr>
              <w:t>In this lesson we return to the contexts and tasks of Lesson 2e, and consider how or whether the</w:t>
            </w:r>
          </w:p>
          <w:p w:rsidR="004D10BD" w:rsidRPr="00E51DFD" w:rsidRDefault="004D10BD" w:rsidP="004D10BD">
            <w:pPr>
              <w:autoSpaceDE w:val="0"/>
              <w:autoSpaceDN w:val="0"/>
              <w:adjustRightInd w:val="0"/>
              <w:rPr>
                <w:rFonts w:ascii="Calibri" w:hAnsi="Calibri" w:cs="Calibri"/>
                <w:szCs w:val="20"/>
              </w:rPr>
            </w:pPr>
            <w:r w:rsidRPr="00E51DFD">
              <w:rPr>
                <w:rFonts w:ascii="Calibri" w:hAnsi="Calibri" w:cs="Calibri"/>
                <w:szCs w:val="20"/>
              </w:rPr>
              <w:t xml:space="preserve">double number line (DNL) is useful for solving these tasks, </w:t>
            </w:r>
            <w:proofErr w:type="spellStart"/>
            <w:r w:rsidRPr="00E51DFD">
              <w:rPr>
                <w:rFonts w:ascii="Calibri" w:hAnsi="Calibri" w:cs="Calibri"/>
                <w:szCs w:val="20"/>
              </w:rPr>
              <w:t>eg</w:t>
            </w:r>
            <w:proofErr w:type="spellEnd"/>
            <w:r w:rsidRPr="00E51DFD">
              <w:rPr>
                <w:rFonts w:ascii="Calibri" w:hAnsi="Calibri" w:cs="Calibri"/>
                <w:szCs w:val="20"/>
              </w:rPr>
              <w:t xml:space="preserve"> by working ‘along the lines’ and</w:t>
            </w:r>
          </w:p>
          <w:p w:rsidR="004D10BD" w:rsidRPr="00E51DFD" w:rsidRDefault="004D10BD" w:rsidP="004D10BD">
            <w:pPr>
              <w:autoSpaceDE w:val="0"/>
              <w:autoSpaceDN w:val="0"/>
              <w:adjustRightInd w:val="0"/>
              <w:rPr>
                <w:rFonts w:ascii="Calibri" w:hAnsi="Calibri" w:cs="Calibri"/>
                <w:szCs w:val="20"/>
              </w:rPr>
            </w:pPr>
            <w:r w:rsidRPr="00E51DFD">
              <w:rPr>
                <w:rFonts w:ascii="Calibri" w:hAnsi="Calibri" w:cs="Calibri"/>
                <w:szCs w:val="20"/>
              </w:rPr>
              <w:t>‘</w:t>
            </w:r>
            <w:proofErr w:type="gramStart"/>
            <w:r w:rsidRPr="00E51DFD">
              <w:rPr>
                <w:rFonts w:ascii="Calibri" w:hAnsi="Calibri" w:cs="Calibri"/>
                <w:szCs w:val="20"/>
              </w:rPr>
              <w:t>between</w:t>
            </w:r>
            <w:proofErr w:type="gramEnd"/>
            <w:r w:rsidRPr="00E51DFD">
              <w:rPr>
                <w:rFonts w:ascii="Calibri" w:hAnsi="Calibri" w:cs="Calibri"/>
                <w:szCs w:val="20"/>
              </w:rPr>
              <w:t xml:space="preserve"> the lines’. We provide opportunities to work with more awkward numbers, which might</w:t>
            </w:r>
          </w:p>
          <w:p w:rsidR="004D10BD" w:rsidRPr="00E51DFD" w:rsidRDefault="004D10BD" w:rsidP="004D10BD">
            <w:pPr>
              <w:autoSpaceDE w:val="0"/>
              <w:autoSpaceDN w:val="0"/>
              <w:adjustRightInd w:val="0"/>
              <w:rPr>
                <w:rFonts w:ascii="Calibri" w:hAnsi="Calibri" w:cs="Calibri"/>
                <w:szCs w:val="20"/>
              </w:rPr>
            </w:pPr>
            <w:proofErr w:type="gramStart"/>
            <w:r w:rsidRPr="00E51DFD">
              <w:rPr>
                <w:rFonts w:ascii="Calibri" w:hAnsi="Calibri" w:cs="Calibri"/>
                <w:szCs w:val="20"/>
              </w:rPr>
              <w:t>help</w:t>
            </w:r>
            <w:proofErr w:type="gramEnd"/>
            <w:r w:rsidRPr="00E51DFD">
              <w:rPr>
                <w:rFonts w:ascii="Calibri" w:hAnsi="Calibri" w:cs="Calibri"/>
                <w:szCs w:val="20"/>
              </w:rPr>
              <w:t xml:space="preserve"> some students adopt a more formal ‘between the lines’ </w:t>
            </w:r>
            <w:r w:rsidRPr="00E51DFD">
              <w:rPr>
                <w:rFonts w:ascii="Calibri" w:hAnsi="Calibri" w:cs="Calibri"/>
                <w:i/>
                <w:iCs/>
                <w:szCs w:val="20"/>
              </w:rPr>
              <w:t xml:space="preserve">scaling </w:t>
            </w:r>
            <w:r w:rsidRPr="00E51DFD">
              <w:rPr>
                <w:rFonts w:ascii="Calibri" w:hAnsi="Calibri" w:cs="Calibri"/>
                <w:szCs w:val="20"/>
              </w:rPr>
              <w:t>approach.</w:t>
            </w:r>
          </w:p>
        </w:tc>
      </w:tr>
      <w:tr w:rsidR="004D10BD" w:rsidRPr="00E51DFD" w:rsidTr="004D10BD">
        <w:tc>
          <w:tcPr>
            <w:tcW w:w="10205" w:type="dxa"/>
            <w:tcBorders>
              <w:top w:val="nil"/>
              <w:left w:val="single" w:sz="12" w:space="0" w:color="auto"/>
              <w:bottom w:val="single" w:sz="12" w:space="0" w:color="auto"/>
              <w:right w:val="single" w:sz="12" w:space="0" w:color="auto"/>
            </w:tcBorders>
          </w:tcPr>
          <w:p w:rsidR="004D10BD" w:rsidRPr="00E51DFD" w:rsidRDefault="004D10BD" w:rsidP="004D10BD">
            <w:pPr>
              <w:spacing w:before="60"/>
              <w:rPr>
                <w:rFonts w:ascii="Calibri" w:hAnsi="Calibri" w:cs="Times New Roman"/>
                <w:szCs w:val="20"/>
              </w:rPr>
            </w:pPr>
            <w:r w:rsidRPr="00E51DFD">
              <w:rPr>
                <w:rFonts w:ascii="Calibri" w:hAnsi="Calibri" w:cs="Times New Roman"/>
                <w:b/>
                <w:szCs w:val="20"/>
              </w:rPr>
              <w:t>Focus of students’ learning</w:t>
            </w:r>
            <w:r w:rsidRPr="00E51DFD">
              <w:rPr>
                <w:rFonts w:ascii="Calibri" w:hAnsi="Calibri" w:cs="Times New Roman"/>
                <w:szCs w:val="20"/>
              </w:rPr>
              <w:t xml:space="preserve"> </w:t>
            </w:r>
          </w:p>
          <w:p w:rsidR="004D10BD" w:rsidRPr="00E51DFD" w:rsidRDefault="004D10BD" w:rsidP="004D10BD">
            <w:pPr>
              <w:autoSpaceDE w:val="0"/>
              <w:autoSpaceDN w:val="0"/>
              <w:adjustRightInd w:val="0"/>
              <w:rPr>
                <w:rFonts w:ascii="Calibri" w:hAnsi="Calibri" w:cs="Calibri"/>
                <w:szCs w:val="20"/>
              </w:rPr>
            </w:pPr>
            <w:r w:rsidRPr="00E51DFD">
              <w:rPr>
                <w:rFonts w:ascii="Calibri" w:hAnsi="Calibri" w:cs="Calibri"/>
                <w:szCs w:val="20"/>
              </w:rPr>
              <w:t>In this lesson we consider how the DNL can be used to solve ratio (and non-ratio) tasks.</w:t>
            </w:r>
          </w:p>
          <w:p w:rsidR="004D10BD" w:rsidRPr="00E51DFD" w:rsidRDefault="004D10BD" w:rsidP="004D10BD">
            <w:pPr>
              <w:autoSpaceDE w:val="0"/>
              <w:autoSpaceDN w:val="0"/>
              <w:adjustRightInd w:val="0"/>
              <w:rPr>
                <w:rFonts w:ascii="Calibri" w:hAnsi="Calibri" w:cs="Calibri"/>
                <w:szCs w:val="20"/>
              </w:rPr>
            </w:pPr>
            <w:r w:rsidRPr="00E51DFD">
              <w:rPr>
                <w:rFonts w:ascii="Calibri" w:hAnsi="Calibri" w:cs="Calibri"/>
                <w:szCs w:val="20"/>
              </w:rPr>
              <w:t>• How readily do students adopt ‘along the lines’ and ‘between the lines’ approaches?</w:t>
            </w:r>
          </w:p>
          <w:p w:rsidR="004D10BD" w:rsidRPr="00E51DFD" w:rsidRDefault="004D10BD" w:rsidP="004D10BD">
            <w:pPr>
              <w:autoSpaceDE w:val="0"/>
              <w:autoSpaceDN w:val="0"/>
              <w:adjustRightInd w:val="0"/>
              <w:rPr>
                <w:rFonts w:ascii="Calibri" w:hAnsi="Calibri" w:cs="Calibri"/>
                <w:szCs w:val="20"/>
              </w:rPr>
            </w:pPr>
            <w:r w:rsidRPr="00E51DFD">
              <w:rPr>
                <w:rFonts w:ascii="Calibri" w:hAnsi="Calibri" w:cs="Calibri"/>
                <w:szCs w:val="20"/>
              </w:rPr>
              <w:t>• Are students aware that the effectiveness of these approaches can vary with context and input?</w:t>
            </w:r>
          </w:p>
          <w:p w:rsidR="004D10BD" w:rsidRDefault="004D10BD" w:rsidP="004D10BD">
            <w:pPr>
              <w:rPr>
                <w:rFonts w:ascii="Calibri" w:hAnsi="Calibri" w:cs="Calibri"/>
                <w:szCs w:val="20"/>
              </w:rPr>
            </w:pPr>
            <w:r w:rsidRPr="00E51DFD">
              <w:rPr>
                <w:rFonts w:ascii="Calibri" w:hAnsi="Calibri" w:cs="Calibri"/>
                <w:szCs w:val="20"/>
              </w:rPr>
              <w:t>• How aware are students of the power of a ‘between the lines’ approach for ratio tasks?</w:t>
            </w:r>
          </w:p>
          <w:p w:rsidR="004D10BD" w:rsidRPr="004D10BD" w:rsidRDefault="004D10BD" w:rsidP="004D10BD">
            <w:pPr>
              <w:rPr>
                <w:rFonts w:ascii="Calibri" w:hAnsi="Calibri" w:cs="Times New Roman"/>
                <w:b/>
                <w:i/>
                <w:szCs w:val="20"/>
              </w:rPr>
            </w:pPr>
            <w:bookmarkStart w:id="0" w:name="_GoBack"/>
            <w:r w:rsidRPr="004D10BD">
              <w:rPr>
                <w:rFonts w:ascii="Calibri" w:hAnsi="Calibri" w:cs="Calibri"/>
                <w:b/>
                <w:i/>
                <w:szCs w:val="20"/>
              </w:rPr>
              <w:t>See Lesson for detail of research background</w:t>
            </w:r>
            <w:bookmarkEnd w:id="0"/>
          </w:p>
        </w:tc>
      </w:tr>
    </w:tbl>
    <w:p w:rsidR="004D10BD" w:rsidRDefault="004D10BD" w:rsidP="00E51DFD">
      <w:pPr>
        <w:spacing w:after="200" w:line="276" w:lineRule="auto"/>
        <w:rPr>
          <w:rFonts w:ascii="Calibri" w:eastAsia="Calibri" w:hAnsi="Calibri" w:cs="Times New Roman"/>
          <w:szCs w:val="22"/>
          <w:lang w:val="en-GB" w:eastAsia="en-US"/>
        </w:rPr>
      </w:pPr>
    </w:p>
    <w:tbl>
      <w:tblPr>
        <w:tblStyle w:val="TableGrid2"/>
        <w:tblpPr w:leftFromText="180" w:rightFromText="180" w:vertAnchor="page" w:horzAnchor="margin" w:tblpY="2388"/>
        <w:tblW w:w="10205" w:type="dxa"/>
        <w:tblLook w:val="04A0" w:firstRow="1" w:lastRow="0" w:firstColumn="1" w:lastColumn="0" w:noHBand="0" w:noVBand="1"/>
      </w:tblPr>
      <w:tblGrid>
        <w:gridCol w:w="10205"/>
      </w:tblGrid>
      <w:tr w:rsidR="004D10BD" w:rsidRPr="00E51DFD" w:rsidTr="000704FE">
        <w:tc>
          <w:tcPr>
            <w:tcW w:w="10205" w:type="dxa"/>
            <w:tcBorders>
              <w:top w:val="single" w:sz="12" w:space="0" w:color="auto"/>
              <w:left w:val="single" w:sz="12" w:space="0" w:color="auto"/>
              <w:bottom w:val="nil"/>
              <w:right w:val="single" w:sz="12" w:space="0" w:color="auto"/>
            </w:tcBorders>
            <w:shd w:val="clear" w:color="auto" w:fill="auto"/>
          </w:tcPr>
          <w:p w:rsidR="004D10BD" w:rsidRPr="00E51DFD" w:rsidRDefault="004D10BD" w:rsidP="000704FE">
            <w:pPr>
              <w:rPr>
                <w:rFonts w:ascii="Calibri" w:hAnsi="Calibri" w:cs="Times New Roman"/>
                <w:b/>
                <w:sz w:val="32"/>
              </w:rPr>
            </w:pPr>
            <w:r w:rsidRPr="00E51DFD">
              <w:rPr>
                <w:rFonts w:ascii="Calibri" w:hAnsi="Calibri" w:cs="Times New Roman"/>
                <w:b/>
                <w:sz w:val="32"/>
              </w:rPr>
              <w:t xml:space="preserve">Unit 2C Lessons        </w:t>
            </w:r>
          </w:p>
          <w:p w:rsidR="004D10BD" w:rsidRPr="00E51DFD" w:rsidRDefault="004D10BD" w:rsidP="000704FE">
            <w:pPr>
              <w:rPr>
                <w:rFonts w:ascii="Calibri" w:hAnsi="Calibri" w:cs="Times New Roman"/>
                <w:b/>
                <w:sz w:val="32"/>
              </w:rPr>
            </w:pPr>
            <w:r w:rsidRPr="00E51DFD">
              <w:rPr>
                <w:rFonts w:ascii="Calibri" w:hAnsi="Calibri" w:cs="Times New Roman"/>
              </w:rPr>
              <w:t>This pair of lessons</w:t>
            </w:r>
          </w:p>
        </w:tc>
      </w:tr>
      <w:tr w:rsidR="004D10BD" w:rsidRPr="00E51DFD" w:rsidTr="000704FE">
        <w:tc>
          <w:tcPr>
            <w:tcW w:w="10205" w:type="dxa"/>
            <w:tcBorders>
              <w:top w:val="single" w:sz="12" w:space="0" w:color="auto"/>
              <w:left w:val="single" w:sz="12" w:space="0" w:color="auto"/>
              <w:bottom w:val="nil"/>
              <w:right w:val="single" w:sz="12" w:space="0" w:color="auto"/>
            </w:tcBorders>
            <w:shd w:val="clear" w:color="auto" w:fill="EEECE1" w:themeFill="background2"/>
          </w:tcPr>
          <w:p w:rsidR="004D10BD" w:rsidRPr="00E51DFD" w:rsidRDefault="004D10BD" w:rsidP="000704FE">
            <w:pPr>
              <w:rPr>
                <w:rFonts w:ascii="Calibri" w:hAnsi="Calibri" w:cs="Times New Roman"/>
                <w:b/>
                <w:sz w:val="32"/>
              </w:rPr>
            </w:pPr>
            <w:r w:rsidRPr="00E51DFD">
              <w:rPr>
                <w:rFonts w:ascii="Calibri" w:hAnsi="Calibri" w:cs="Times New Roman"/>
                <w:b/>
                <w:sz w:val="28"/>
              </w:rPr>
              <w:t>2C(</w:t>
            </w:r>
            <w:proofErr w:type="spellStart"/>
            <w:r w:rsidRPr="00E51DFD">
              <w:rPr>
                <w:rFonts w:ascii="Calibri" w:hAnsi="Calibri" w:cs="Times New Roman"/>
                <w:b/>
                <w:sz w:val="28"/>
              </w:rPr>
              <w:t>i</w:t>
            </w:r>
            <w:proofErr w:type="spellEnd"/>
            <w:r w:rsidRPr="00E51DFD">
              <w:rPr>
                <w:rFonts w:ascii="Calibri" w:hAnsi="Calibri" w:cs="Times New Roman"/>
                <w:b/>
                <w:sz w:val="28"/>
              </w:rPr>
              <w:t xml:space="preserve">) </w:t>
            </w:r>
            <w:r w:rsidRPr="00E51DFD">
              <w:rPr>
                <w:rFonts w:ascii="Calibri" w:hAnsi="Calibri" w:cs="Times New Roman"/>
                <w:b/>
                <w:bCs/>
                <w:sz w:val="28"/>
              </w:rPr>
              <w:t xml:space="preserve"> Identifying proportional scenarios</w:t>
            </w:r>
          </w:p>
        </w:tc>
      </w:tr>
      <w:tr w:rsidR="004D10BD" w:rsidRPr="00E51DFD" w:rsidTr="000704FE">
        <w:tc>
          <w:tcPr>
            <w:tcW w:w="10205" w:type="dxa"/>
            <w:tcBorders>
              <w:top w:val="nil"/>
              <w:left w:val="single" w:sz="12" w:space="0" w:color="auto"/>
              <w:bottom w:val="nil"/>
              <w:right w:val="single" w:sz="12" w:space="0" w:color="auto"/>
            </w:tcBorders>
          </w:tcPr>
          <w:p w:rsidR="004D10BD" w:rsidRPr="00E51DFD" w:rsidRDefault="004D10BD" w:rsidP="000704FE">
            <w:pPr>
              <w:spacing w:before="60"/>
              <w:rPr>
                <w:rFonts w:ascii="Calibri" w:hAnsi="Calibri" w:cs="Times New Roman"/>
              </w:rPr>
            </w:pPr>
            <w:r w:rsidRPr="00E51DFD">
              <w:rPr>
                <w:rFonts w:ascii="Calibri" w:hAnsi="Calibri" w:cs="Times New Roman"/>
                <w:b/>
              </w:rPr>
              <w:t>Lesson summary</w:t>
            </w:r>
          </w:p>
          <w:p w:rsidR="004D10BD" w:rsidRPr="00E51DFD" w:rsidRDefault="004D10BD" w:rsidP="000704FE">
            <w:pPr>
              <w:autoSpaceDE w:val="0"/>
              <w:autoSpaceDN w:val="0"/>
              <w:adjustRightInd w:val="0"/>
              <w:rPr>
                <w:rFonts w:ascii="Calibri" w:hAnsi="Calibri" w:cs="Calibri"/>
              </w:rPr>
            </w:pPr>
            <w:r w:rsidRPr="00E51DFD">
              <w:rPr>
                <w:rFonts w:ascii="Calibri" w:hAnsi="Calibri" w:cs="Calibri"/>
              </w:rPr>
              <w:t>In this lesson students develop strategies for identifying whether two quantities vary in direct proportion to each other.</w:t>
            </w:r>
          </w:p>
          <w:p w:rsidR="004D10BD" w:rsidRPr="00E51DFD" w:rsidRDefault="004D10BD" w:rsidP="000704FE">
            <w:pPr>
              <w:autoSpaceDE w:val="0"/>
              <w:autoSpaceDN w:val="0"/>
              <w:adjustRightInd w:val="0"/>
              <w:rPr>
                <w:rFonts w:ascii="Calibri" w:hAnsi="Calibri" w:cs="Calibri"/>
                <w:sz w:val="20"/>
              </w:rPr>
            </w:pPr>
            <w:r w:rsidRPr="00E51DFD">
              <w:rPr>
                <w:rFonts w:ascii="Calibri" w:hAnsi="Calibri" w:cs="Calibri"/>
              </w:rPr>
              <w:t>They have the opportunity to explore efficient methods for solving proportional and non-proportional problems in a variety of contexts. Students will also have experience of distinguishing between direct proportion and other functional relationships.</w:t>
            </w:r>
          </w:p>
        </w:tc>
      </w:tr>
      <w:tr w:rsidR="004D10BD" w:rsidRPr="00E51DFD" w:rsidTr="000704FE">
        <w:tc>
          <w:tcPr>
            <w:tcW w:w="10205" w:type="dxa"/>
            <w:tcBorders>
              <w:top w:val="nil"/>
              <w:left w:val="single" w:sz="12" w:space="0" w:color="auto"/>
              <w:bottom w:val="nil"/>
              <w:right w:val="single" w:sz="12" w:space="0" w:color="auto"/>
            </w:tcBorders>
          </w:tcPr>
          <w:p w:rsidR="004D10BD" w:rsidRPr="00E51DFD" w:rsidRDefault="004D10BD" w:rsidP="000704FE">
            <w:pPr>
              <w:spacing w:before="60"/>
              <w:rPr>
                <w:rFonts w:ascii="Calibri" w:hAnsi="Calibri" w:cs="Times New Roman"/>
              </w:rPr>
            </w:pPr>
            <w:r w:rsidRPr="00E51DFD">
              <w:rPr>
                <w:rFonts w:ascii="Calibri" w:hAnsi="Calibri" w:cs="Times New Roman"/>
                <w:b/>
              </w:rPr>
              <w:t>Focus of students’ learning</w:t>
            </w:r>
            <w:r w:rsidRPr="00E51DFD">
              <w:rPr>
                <w:rFonts w:ascii="Calibri" w:hAnsi="Calibri" w:cs="Times New Roman"/>
              </w:rPr>
              <w:t xml:space="preserve"> </w:t>
            </w:r>
          </w:p>
          <w:p w:rsidR="004D10BD" w:rsidRPr="00E51DFD" w:rsidRDefault="004D10BD" w:rsidP="000704FE">
            <w:pPr>
              <w:rPr>
                <w:rFonts w:ascii="Calibri" w:hAnsi="Calibri" w:cs="Calibri"/>
              </w:rPr>
            </w:pPr>
            <w:r w:rsidRPr="00E51DFD">
              <w:rPr>
                <w:rFonts w:ascii="Calibri" w:hAnsi="Calibri" w:cs="Calibri"/>
              </w:rPr>
              <w:t>To develop strategies for classifying scenarios based on the existence and type of proportional relationship.</w:t>
            </w:r>
          </w:p>
          <w:p w:rsidR="004D10BD" w:rsidRPr="00E51DFD" w:rsidRDefault="004D10BD" w:rsidP="000704FE">
            <w:pPr>
              <w:rPr>
                <w:rFonts w:ascii="Calibri" w:hAnsi="Calibri" w:cs="Calibri"/>
              </w:rPr>
            </w:pPr>
            <w:r w:rsidRPr="00E51DFD">
              <w:rPr>
                <w:rFonts w:ascii="Calibri" w:hAnsi="Calibri" w:cs="Calibri"/>
              </w:rPr>
              <w:t>Students will consider the properties of direct proportion, using their knowledge to solve proportionality and non-proportionality problems.</w:t>
            </w:r>
          </w:p>
        </w:tc>
      </w:tr>
      <w:tr w:rsidR="004D10BD" w:rsidRPr="00E51DFD" w:rsidTr="000704FE">
        <w:tc>
          <w:tcPr>
            <w:tcW w:w="10205" w:type="dxa"/>
            <w:tcBorders>
              <w:top w:val="single" w:sz="12" w:space="0" w:color="auto"/>
              <w:left w:val="single" w:sz="12" w:space="0" w:color="auto"/>
              <w:bottom w:val="nil"/>
              <w:right w:val="single" w:sz="12" w:space="0" w:color="auto"/>
            </w:tcBorders>
            <w:shd w:val="clear" w:color="auto" w:fill="EEECE1" w:themeFill="background2"/>
          </w:tcPr>
          <w:p w:rsidR="004D10BD" w:rsidRPr="00E51DFD" w:rsidRDefault="004D10BD" w:rsidP="000704FE">
            <w:pPr>
              <w:rPr>
                <w:rFonts w:ascii="Calibri" w:hAnsi="Calibri" w:cs="Times New Roman"/>
                <w:b/>
                <w:sz w:val="28"/>
              </w:rPr>
            </w:pPr>
            <w:r w:rsidRPr="00E51DFD">
              <w:rPr>
                <w:rFonts w:ascii="Calibri" w:hAnsi="Calibri" w:cs="Times New Roman"/>
                <w:b/>
                <w:sz w:val="28"/>
              </w:rPr>
              <w:t xml:space="preserve">2C(ii)  Directly or inversely proportional  </w:t>
            </w:r>
          </w:p>
        </w:tc>
      </w:tr>
      <w:tr w:rsidR="004D10BD" w:rsidRPr="00E51DFD" w:rsidTr="000704FE">
        <w:tc>
          <w:tcPr>
            <w:tcW w:w="10205" w:type="dxa"/>
            <w:tcBorders>
              <w:top w:val="nil"/>
              <w:left w:val="single" w:sz="12" w:space="0" w:color="auto"/>
              <w:bottom w:val="nil"/>
              <w:right w:val="single" w:sz="12" w:space="0" w:color="auto"/>
            </w:tcBorders>
          </w:tcPr>
          <w:p w:rsidR="004D10BD" w:rsidRPr="00E51DFD" w:rsidRDefault="004D10BD" w:rsidP="000704FE">
            <w:pPr>
              <w:spacing w:before="60"/>
              <w:rPr>
                <w:rFonts w:ascii="Calibri" w:hAnsi="Calibri" w:cs="Times New Roman"/>
                <w:szCs w:val="20"/>
              </w:rPr>
            </w:pPr>
            <w:r w:rsidRPr="00E51DFD">
              <w:rPr>
                <w:rFonts w:ascii="Calibri" w:hAnsi="Calibri" w:cs="Times New Roman"/>
                <w:b/>
                <w:szCs w:val="20"/>
              </w:rPr>
              <w:t>Lesson summary</w:t>
            </w:r>
          </w:p>
          <w:p w:rsidR="004D10BD" w:rsidRPr="00E51DFD" w:rsidRDefault="004D10BD" w:rsidP="000704FE">
            <w:pPr>
              <w:numPr>
                <w:ilvl w:val="0"/>
                <w:numId w:val="9"/>
              </w:numPr>
              <w:ind w:left="284" w:hanging="218"/>
              <w:contextualSpacing/>
              <w:rPr>
                <w:rFonts w:ascii="Calibri" w:hAnsi="Calibri" w:cs="Times New Roman"/>
                <w:szCs w:val="20"/>
              </w:rPr>
            </w:pPr>
            <w:r w:rsidRPr="00E51DFD">
              <w:rPr>
                <w:rFonts w:ascii="Calibri" w:hAnsi="Calibri" w:cs="Times New Roman"/>
                <w:szCs w:val="20"/>
              </w:rPr>
              <w:t>In this lesson students create problems within given contexts and constraints of differing levels of challenge for other students to solve.</w:t>
            </w:r>
          </w:p>
          <w:p w:rsidR="004D10BD" w:rsidRPr="00E51DFD" w:rsidRDefault="004D10BD" w:rsidP="000704FE">
            <w:pPr>
              <w:numPr>
                <w:ilvl w:val="0"/>
                <w:numId w:val="9"/>
              </w:numPr>
              <w:ind w:left="284" w:hanging="218"/>
              <w:contextualSpacing/>
              <w:rPr>
                <w:rFonts w:ascii="Calibri" w:hAnsi="Calibri" w:cs="Times New Roman"/>
                <w:szCs w:val="20"/>
              </w:rPr>
            </w:pPr>
            <w:r w:rsidRPr="00E51DFD">
              <w:rPr>
                <w:rFonts w:ascii="Calibri" w:hAnsi="Calibri" w:cs="Times New Roman"/>
                <w:szCs w:val="20"/>
              </w:rPr>
              <w:t>They have the opportunity to compare and critique different methods for solving proportionality problems</w:t>
            </w:r>
          </w:p>
          <w:p w:rsidR="004D10BD" w:rsidRPr="00E51DFD" w:rsidRDefault="004D10BD" w:rsidP="000704FE">
            <w:pPr>
              <w:ind w:left="284" w:hanging="218"/>
              <w:rPr>
                <w:rFonts w:ascii="Calibri" w:hAnsi="Calibri" w:cs="Times New Roman"/>
                <w:szCs w:val="20"/>
              </w:rPr>
            </w:pPr>
            <w:r w:rsidRPr="00E51DFD">
              <w:rPr>
                <w:rFonts w:ascii="Calibri" w:hAnsi="Calibri" w:cs="Times New Roman"/>
                <w:szCs w:val="20"/>
              </w:rPr>
              <w:t>The activity also encourages peer assessment of work from other groups and the production of suggestions for improvement.</w:t>
            </w:r>
          </w:p>
          <w:p w:rsidR="004D10BD" w:rsidRPr="00E51DFD" w:rsidRDefault="004D10BD" w:rsidP="000704FE">
            <w:pPr>
              <w:autoSpaceDE w:val="0"/>
              <w:autoSpaceDN w:val="0"/>
              <w:adjustRightInd w:val="0"/>
              <w:rPr>
                <w:rFonts w:ascii="Calibri" w:hAnsi="Calibri" w:cs="Calibri"/>
                <w:szCs w:val="20"/>
              </w:rPr>
            </w:pPr>
          </w:p>
        </w:tc>
      </w:tr>
      <w:tr w:rsidR="004D10BD" w:rsidRPr="00E51DFD" w:rsidTr="000704FE">
        <w:trPr>
          <w:trHeight w:val="1458"/>
        </w:trPr>
        <w:tc>
          <w:tcPr>
            <w:tcW w:w="10205" w:type="dxa"/>
            <w:tcBorders>
              <w:top w:val="nil"/>
              <w:left w:val="single" w:sz="12" w:space="0" w:color="auto"/>
              <w:bottom w:val="single" w:sz="12" w:space="0" w:color="auto"/>
              <w:right w:val="single" w:sz="12" w:space="0" w:color="auto"/>
            </w:tcBorders>
          </w:tcPr>
          <w:p w:rsidR="004D10BD" w:rsidRPr="00E51DFD" w:rsidRDefault="004D10BD" w:rsidP="000704FE">
            <w:pPr>
              <w:spacing w:before="60"/>
              <w:rPr>
                <w:rFonts w:ascii="Calibri" w:hAnsi="Calibri" w:cs="Times New Roman"/>
                <w:szCs w:val="20"/>
              </w:rPr>
            </w:pPr>
            <w:r w:rsidRPr="00E51DFD">
              <w:rPr>
                <w:rFonts w:ascii="Calibri" w:hAnsi="Calibri" w:cs="Times New Roman"/>
                <w:b/>
                <w:szCs w:val="20"/>
              </w:rPr>
              <w:t>Focus of students’ learning</w:t>
            </w:r>
            <w:r w:rsidRPr="00E51DFD">
              <w:rPr>
                <w:rFonts w:ascii="Calibri" w:hAnsi="Calibri" w:cs="Times New Roman"/>
                <w:szCs w:val="20"/>
              </w:rPr>
              <w:t xml:space="preserve"> </w:t>
            </w:r>
          </w:p>
          <w:p w:rsidR="004D10BD" w:rsidRPr="00E51DFD" w:rsidRDefault="004D10BD" w:rsidP="000704FE">
            <w:pPr>
              <w:numPr>
                <w:ilvl w:val="0"/>
                <w:numId w:val="10"/>
              </w:numPr>
              <w:ind w:left="284" w:hanging="218"/>
              <w:contextualSpacing/>
              <w:rPr>
                <w:rFonts w:ascii="Calibri" w:hAnsi="Calibri" w:cs="Calibri"/>
                <w:szCs w:val="20"/>
              </w:rPr>
            </w:pPr>
            <w:r w:rsidRPr="00E51DFD">
              <w:rPr>
                <w:rFonts w:ascii="Calibri" w:hAnsi="Calibri" w:cs="Calibri"/>
                <w:szCs w:val="20"/>
              </w:rPr>
              <w:t>To develop an understanding of the structure of problems involving direct and inverse proportion.</w:t>
            </w:r>
          </w:p>
          <w:p w:rsidR="004D10BD" w:rsidRPr="00E51DFD" w:rsidRDefault="004D10BD" w:rsidP="000704FE">
            <w:pPr>
              <w:spacing w:before="60"/>
              <w:rPr>
                <w:rFonts w:ascii="Calibri" w:hAnsi="Calibri" w:cs="Times New Roman"/>
                <w:b/>
                <w:szCs w:val="20"/>
              </w:rPr>
            </w:pPr>
            <w:r w:rsidRPr="00E51DFD">
              <w:rPr>
                <w:rFonts w:ascii="Calibri" w:hAnsi="Calibri" w:cs="Calibri"/>
                <w:szCs w:val="20"/>
              </w:rPr>
              <w:t>Students will consider the numbers needed to make a proportionality question easy or difficult to solve and consider efficient methods for solving proportional problems.</w:t>
            </w:r>
          </w:p>
        </w:tc>
      </w:tr>
      <w:tr w:rsidR="004D10BD" w:rsidRPr="00E51DFD" w:rsidTr="000704FE">
        <w:trPr>
          <w:trHeight w:val="1458"/>
        </w:trPr>
        <w:tc>
          <w:tcPr>
            <w:tcW w:w="10205" w:type="dxa"/>
            <w:tcBorders>
              <w:top w:val="single" w:sz="12" w:space="0" w:color="auto"/>
              <w:left w:val="single" w:sz="12" w:space="0" w:color="auto"/>
              <w:bottom w:val="single" w:sz="12" w:space="0" w:color="auto"/>
              <w:right w:val="single" w:sz="12" w:space="0" w:color="auto"/>
            </w:tcBorders>
          </w:tcPr>
          <w:p w:rsidR="004D10BD" w:rsidRDefault="004D10BD" w:rsidP="000704FE">
            <w:pPr>
              <w:spacing w:before="60"/>
              <w:rPr>
                <w:rFonts w:ascii="Calibri" w:hAnsi="Calibri" w:cs="Times New Roman"/>
                <w:b/>
                <w:szCs w:val="20"/>
              </w:rPr>
            </w:pPr>
            <w:r>
              <w:rPr>
                <w:rFonts w:ascii="Calibri" w:hAnsi="Calibri" w:cs="Times New Roman"/>
                <w:b/>
                <w:szCs w:val="20"/>
              </w:rPr>
              <w:t>Overview – Enquiry approach</w:t>
            </w:r>
          </w:p>
          <w:p w:rsidR="004D10BD" w:rsidRPr="006F3C2E" w:rsidRDefault="004D10BD" w:rsidP="000704FE">
            <w:pPr>
              <w:spacing w:before="60"/>
              <w:rPr>
                <w:rFonts w:ascii="Calibri" w:hAnsi="Calibri" w:cs="Times New Roman"/>
                <w:sz w:val="20"/>
                <w:szCs w:val="20"/>
              </w:rPr>
            </w:pPr>
            <w:r w:rsidRPr="006F3C2E">
              <w:rPr>
                <w:rFonts w:ascii="Calibri" w:hAnsi="Calibri" w:cs="Times New Roman"/>
                <w:b/>
                <w:szCs w:val="20"/>
              </w:rPr>
              <w:t>I</w:t>
            </w:r>
            <w:r w:rsidRPr="006F3C2E">
              <w:rPr>
                <w:rFonts w:ascii="Calibri" w:hAnsi="Calibri" w:cs="Times New Roman"/>
                <w:sz w:val="20"/>
                <w:szCs w:val="20"/>
              </w:rPr>
              <w:t>n Lesson 2c students are required to identify whether two quantities vary in proportion to each other, solving proportional and non-proportional problems in a variety of contexts. As students classify different scenarios based on proportionality they take it in turns to place a card and explain their reasoning to each other. Once students have agreed on the categorisations of the cards, they have the opportunity to justify their classifications to their peers before reviewing their work and making any amends as a result of sharing their work. As in the Unit 1 lessons the aim of the pre-task is to expose students’ current understanding and allow students to resolve their own difficulties and misconceptions through their collaborative group work in the lesson’s classification activity.</w:t>
            </w:r>
          </w:p>
          <w:p w:rsidR="004D10BD" w:rsidRPr="006F3C2E" w:rsidRDefault="004D10BD" w:rsidP="000704FE">
            <w:pPr>
              <w:spacing w:before="60"/>
              <w:rPr>
                <w:rFonts w:ascii="Calibri" w:hAnsi="Calibri" w:cs="Times New Roman"/>
                <w:b/>
                <w:szCs w:val="20"/>
              </w:rPr>
            </w:pPr>
            <w:r w:rsidRPr="006F3C2E">
              <w:rPr>
                <w:rFonts w:ascii="Calibri" w:hAnsi="Calibri" w:cs="Times New Roman"/>
                <w:sz w:val="20"/>
                <w:szCs w:val="20"/>
              </w:rPr>
              <w:t>Lesson 2d aims to provide students with the opportunity to develop their understanding of the structure of problems involving direct and inverse proportion. They create problems within given contexts and constraints for other students to solve, considering the numbers needed to make a proportionality question easy or difficult to solve. A range of contexts are included in the lesson to allow students to engage with contexts that are familiar to them. The lesson activities encourage students to be active participants in the classroom as they engage in discussing and explaining their ideas, challenging and teaching one another, creating and solving each other’s questions and working collaboratively to share their solutions.</w:t>
            </w:r>
          </w:p>
          <w:p w:rsidR="004D10BD" w:rsidRPr="00E51DFD" w:rsidRDefault="004D10BD" w:rsidP="000704FE">
            <w:pPr>
              <w:spacing w:before="60"/>
              <w:rPr>
                <w:rFonts w:ascii="Calibri" w:hAnsi="Calibri" w:cs="Times New Roman"/>
                <w:b/>
                <w:szCs w:val="20"/>
              </w:rPr>
            </w:pPr>
          </w:p>
        </w:tc>
      </w:tr>
    </w:tbl>
    <w:p w:rsidR="004D10BD" w:rsidRPr="00E51DFD" w:rsidRDefault="004D10BD" w:rsidP="00E51DFD">
      <w:pPr>
        <w:spacing w:after="200" w:line="276" w:lineRule="auto"/>
        <w:rPr>
          <w:rFonts w:ascii="Calibri" w:eastAsia="Calibri" w:hAnsi="Calibri" w:cs="Times New Roman"/>
          <w:szCs w:val="22"/>
          <w:lang w:val="en-GB" w:eastAsia="en-US"/>
        </w:rPr>
      </w:pPr>
    </w:p>
    <w:p w:rsidR="001F24C4" w:rsidRPr="001F24C4" w:rsidRDefault="001F24C4" w:rsidP="001F24C4">
      <w:pPr>
        <w:rPr>
          <w:rFonts w:ascii="Calibri" w:hAnsi="Calibri"/>
          <w:b/>
          <w:sz w:val="20"/>
          <w:szCs w:val="22"/>
        </w:rPr>
      </w:pPr>
    </w:p>
    <w:sectPr w:rsidR="001F24C4" w:rsidRPr="001F24C4" w:rsidSect="00E850E0">
      <w:headerReference w:type="default" r:id="rId9"/>
      <w:pgSz w:w="11900" w:h="16840"/>
      <w:pgMar w:top="1440" w:right="1080" w:bottom="1440" w:left="993"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2A5" w:rsidRDefault="00D202A5" w:rsidP="00B00C71">
      <w:r>
        <w:separator/>
      </w:r>
    </w:p>
  </w:endnote>
  <w:endnote w:type="continuationSeparator" w:id="0">
    <w:p w:rsidR="00D202A5" w:rsidRDefault="00D202A5" w:rsidP="00B0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2A5" w:rsidRDefault="00D202A5" w:rsidP="00B00C71">
      <w:r>
        <w:separator/>
      </w:r>
    </w:p>
  </w:footnote>
  <w:footnote w:type="continuationSeparator" w:id="0">
    <w:p w:rsidR="00D202A5" w:rsidRDefault="00D202A5" w:rsidP="00B00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C71" w:rsidRDefault="00B00C71">
    <w:pPr>
      <w:pStyle w:val="Header"/>
    </w:pPr>
    <w:r>
      <w:rPr>
        <w:noProof/>
        <w:lang w:val="en-GB" w:eastAsia="en-GB"/>
      </w:rPr>
      <w:drawing>
        <wp:anchor distT="0" distB="0" distL="114300" distR="114300" simplePos="0" relativeHeight="251658240" behindDoc="1" locked="0" layoutInCell="1" allowOverlap="0" wp14:anchorId="6993D99D" wp14:editId="68104588">
          <wp:simplePos x="0" y="0"/>
          <wp:positionH relativeFrom="page">
            <wp:posOffset>6250210</wp:posOffset>
          </wp:positionH>
          <wp:positionV relativeFrom="page">
            <wp:posOffset>-55056</wp:posOffset>
          </wp:positionV>
          <wp:extent cx="1125941" cy="754998"/>
          <wp:effectExtent l="0" t="0" r="0" b="7620"/>
          <wp:wrapNone/>
          <wp:docPr id="2" name="Picture 2" descr="NCETM-logo-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ETM-logo-letterhead"/>
                  <pic:cNvPicPr>
                    <a:picLocks noChangeAspect="1" noChangeArrowheads="1"/>
                  </pic:cNvPicPr>
                </pic:nvPicPr>
                <pic:blipFill>
                  <a:blip r:embed="rId1">
                    <a:extLst>
                      <a:ext uri="{28A0092B-C50C-407E-A947-70E740481C1C}">
                        <a14:useLocalDpi xmlns:a14="http://schemas.microsoft.com/office/drawing/2010/main" val="0"/>
                      </a:ext>
                    </a:extLst>
                  </a:blip>
                  <a:srcRect b="46576"/>
                  <a:stretch>
                    <a:fillRect/>
                  </a:stretch>
                </pic:blipFill>
                <pic:spPr bwMode="auto">
                  <a:xfrm>
                    <a:off x="0" y="0"/>
                    <a:ext cx="1125941" cy="75499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16D47"/>
    <w:multiLevelType w:val="hybridMultilevel"/>
    <w:tmpl w:val="86643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B107CA0"/>
    <w:multiLevelType w:val="hybridMultilevel"/>
    <w:tmpl w:val="BAB2D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816500"/>
    <w:multiLevelType w:val="multilevel"/>
    <w:tmpl w:val="11BA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697A0D"/>
    <w:multiLevelType w:val="hybridMultilevel"/>
    <w:tmpl w:val="24FA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736195"/>
    <w:multiLevelType w:val="hybridMultilevel"/>
    <w:tmpl w:val="BF6C3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7A43F5"/>
    <w:multiLevelType w:val="hybridMultilevel"/>
    <w:tmpl w:val="9FAC129E"/>
    <w:lvl w:ilvl="0" w:tplc="8050E5EE">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D313DAE"/>
    <w:multiLevelType w:val="hybridMultilevel"/>
    <w:tmpl w:val="F7AC0BD0"/>
    <w:lvl w:ilvl="0" w:tplc="8050E5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0D66F36"/>
    <w:multiLevelType w:val="hybridMultilevel"/>
    <w:tmpl w:val="898EB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A1C297B"/>
    <w:multiLevelType w:val="hybridMultilevel"/>
    <w:tmpl w:val="3A54F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B6E6052"/>
    <w:multiLevelType w:val="hybridMultilevel"/>
    <w:tmpl w:val="EEA6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55118CC"/>
    <w:multiLevelType w:val="hybridMultilevel"/>
    <w:tmpl w:val="A750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0"/>
  </w:num>
  <w:num w:numId="5">
    <w:abstractNumId w:val="2"/>
  </w:num>
  <w:num w:numId="6">
    <w:abstractNumId w:val="10"/>
  </w:num>
  <w:num w:numId="7">
    <w:abstractNumId w:val="5"/>
  </w:num>
  <w:num w:numId="8">
    <w:abstractNumId w:val="7"/>
  </w:num>
  <w:num w:numId="9">
    <w:abstractNumId w:val="8"/>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A9"/>
    <w:rsid w:val="00022D05"/>
    <w:rsid w:val="00023FAA"/>
    <w:rsid w:val="00037B99"/>
    <w:rsid w:val="000A1B15"/>
    <w:rsid w:val="000C2A43"/>
    <w:rsid w:val="000C3236"/>
    <w:rsid w:val="001536BB"/>
    <w:rsid w:val="001A21BF"/>
    <w:rsid w:val="001F24C4"/>
    <w:rsid w:val="00214B85"/>
    <w:rsid w:val="002E2F7E"/>
    <w:rsid w:val="003310D4"/>
    <w:rsid w:val="003C5277"/>
    <w:rsid w:val="003C66EC"/>
    <w:rsid w:val="003E26A9"/>
    <w:rsid w:val="00404C2B"/>
    <w:rsid w:val="004323A8"/>
    <w:rsid w:val="00445B62"/>
    <w:rsid w:val="00497202"/>
    <w:rsid w:val="004D10BD"/>
    <w:rsid w:val="004F192D"/>
    <w:rsid w:val="005830B2"/>
    <w:rsid w:val="005A0BE8"/>
    <w:rsid w:val="005A61F8"/>
    <w:rsid w:val="005C38B2"/>
    <w:rsid w:val="00645A12"/>
    <w:rsid w:val="006C50C7"/>
    <w:rsid w:val="006F3C2E"/>
    <w:rsid w:val="007B2181"/>
    <w:rsid w:val="00825820"/>
    <w:rsid w:val="00830D54"/>
    <w:rsid w:val="008D7051"/>
    <w:rsid w:val="008D7E87"/>
    <w:rsid w:val="008E1EA6"/>
    <w:rsid w:val="009204B8"/>
    <w:rsid w:val="00AA4148"/>
    <w:rsid w:val="00B00C71"/>
    <w:rsid w:val="00B72D07"/>
    <w:rsid w:val="00BE6861"/>
    <w:rsid w:val="00C57005"/>
    <w:rsid w:val="00CA7672"/>
    <w:rsid w:val="00CD277F"/>
    <w:rsid w:val="00CE0F4E"/>
    <w:rsid w:val="00D1144B"/>
    <w:rsid w:val="00D202A5"/>
    <w:rsid w:val="00E40578"/>
    <w:rsid w:val="00E51DFD"/>
    <w:rsid w:val="00E825C2"/>
    <w:rsid w:val="00E850E0"/>
    <w:rsid w:val="00ED0E2A"/>
    <w:rsid w:val="00ED6065"/>
    <w:rsid w:val="00F00270"/>
    <w:rsid w:val="00F44CAD"/>
    <w:rsid w:val="00F65CCD"/>
    <w:rsid w:val="00FD24F1"/>
    <w:rsid w:val="00FD2D8B"/>
    <w:rsid w:val="00FF3C7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D4"/>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C71"/>
    <w:pPr>
      <w:tabs>
        <w:tab w:val="center" w:pos="4513"/>
        <w:tab w:val="right" w:pos="9026"/>
      </w:tabs>
    </w:pPr>
  </w:style>
  <w:style w:type="character" w:customStyle="1" w:styleId="HeaderChar">
    <w:name w:val="Header Char"/>
    <w:basedOn w:val="DefaultParagraphFont"/>
    <w:link w:val="Header"/>
    <w:uiPriority w:val="99"/>
    <w:rsid w:val="00B00C71"/>
    <w:rPr>
      <w:rFonts w:ascii="Times New Roman" w:hAnsi="Times New Roman"/>
    </w:rPr>
  </w:style>
  <w:style w:type="paragraph" w:styleId="Footer">
    <w:name w:val="footer"/>
    <w:basedOn w:val="Normal"/>
    <w:link w:val="FooterChar"/>
    <w:uiPriority w:val="99"/>
    <w:unhideWhenUsed/>
    <w:rsid w:val="00B00C71"/>
    <w:pPr>
      <w:tabs>
        <w:tab w:val="center" w:pos="4513"/>
        <w:tab w:val="right" w:pos="9026"/>
      </w:tabs>
    </w:pPr>
  </w:style>
  <w:style w:type="character" w:customStyle="1" w:styleId="FooterChar">
    <w:name w:val="Footer Char"/>
    <w:basedOn w:val="DefaultParagraphFont"/>
    <w:link w:val="Footer"/>
    <w:uiPriority w:val="99"/>
    <w:rsid w:val="00B00C71"/>
    <w:rPr>
      <w:rFonts w:ascii="Times New Roman" w:hAnsi="Times New Roman"/>
    </w:rPr>
  </w:style>
  <w:style w:type="table" w:styleId="TableGrid">
    <w:name w:val="Table Grid"/>
    <w:basedOn w:val="TableNormal"/>
    <w:uiPriority w:val="59"/>
    <w:rsid w:val="00ED0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50E0"/>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1DFD"/>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D4"/>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C71"/>
    <w:pPr>
      <w:tabs>
        <w:tab w:val="center" w:pos="4513"/>
        <w:tab w:val="right" w:pos="9026"/>
      </w:tabs>
    </w:pPr>
  </w:style>
  <w:style w:type="character" w:customStyle="1" w:styleId="HeaderChar">
    <w:name w:val="Header Char"/>
    <w:basedOn w:val="DefaultParagraphFont"/>
    <w:link w:val="Header"/>
    <w:uiPriority w:val="99"/>
    <w:rsid w:val="00B00C71"/>
    <w:rPr>
      <w:rFonts w:ascii="Times New Roman" w:hAnsi="Times New Roman"/>
    </w:rPr>
  </w:style>
  <w:style w:type="paragraph" w:styleId="Footer">
    <w:name w:val="footer"/>
    <w:basedOn w:val="Normal"/>
    <w:link w:val="FooterChar"/>
    <w:uiPriority w:val="99"/>
    <w:unhideWhenUsed/>
    <w:rsid w:val="00B00C71"/>
    <w:pPr>
      <w:tabs>
        <w:tab w:val="center" w:pos="4513"/>
        <w:tab w:val="right" w:pos="9026"/>
      </w:tabs>
    </w:pPr>
  </w:style>
  <w:style w:type="character" w:customStyle="1" w:styleId="FooterChar">
    <w:name w:val="Footer Char"/>
    <w:basedOn w:val="DefaultParagraphFont"/>
    <w:link w:val="Footer"/>
    <w:uiPriority w:val="99"/>
    <w:rsid w:val="00B00C71"/>
    <w:rPr>
      <w:rFonts w:ascii="Times New Roman" w:hAnsi="Times New Roman"/>
    </w:rPr>
  </w:style>
  <w:style w:type="table" w:styleId="TableGrid">
    <w:name w:val="Table Grid"/>
    <w:basedOn w:val="TableNormal"/>
    <w:uiPriority w:val="59"/>
    <w:rsid w:val="00ED0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50E0"/>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1DFD"/>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org.uk/files/pdf/RME_Impact_booklet.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Dietmar Küchemann</dc:creator>
  <cp:lastModifiedBy>Rob Tait</cp:lastModifiedBy>
  <cp:revision>4</cp:revision>
  <cp:lastPrinted>2014-09-17T16:41:00Z</cp:lastPrinted>
  <dcterms:created xsi:type="dcterms:W3CDTF">2016-02-18T14:22:00Z</dcterms:created>
  <dcterms:modified xsi:type="dcterms:W3CDTF">2016-02-18T15:11:00Z</dcterms:modified>
</cp:coreProperties>
</file>